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83639" w14:textId="475D196D" w:rsidR="0008082D" w:rsidRPr="00507CEE" w:rsidRDefault="00DE5874" w:rsidP="000755BF">
      <w:pPr>
        <w:rPr>
          <w:b/>
          <w:sz w:val="24"/>
        </w:rPr>
      </w:pPr>
      <w:r w:rsidRPr="00507CEE">
        <w:rPr>
          <w:b/>
          <w:sz w:val="24"/>
        </w:rPr>
        <w:t xml:space="preserve">TOP ITEMS FROM REVIEWS </w:t>
      </w:r>
    </w:p>
    <w:p w14:paraId="5C64EA45" w14:textId="77777777" w:rsidR="00644D4A" w:rsidRDefault="00644D4A" w:rsidP="000755BF"/>
    <w:p w14:paraId="055AE43A" w14:textId="4584B89F" w:rsidR="000755BF" w:rsidRPr="008B3E51" w:rsidRDefault="000755BF" w:rsidP="000755BF">
      <w:pPr>
        <w:rPr>
          <w:b/>
          <w:sz w:val="28"/>
          <w:szCs w:val="28"/>
          <w:u w:val="single"/>
        </w:rPr>
      </w:pPr>
      <w:r w:rsidRPr="008B3E51">
        <w:rPr>
          <w:b/>
          <w:sz w:val="28"/>
          <w:szCs w:val="28"/>
          <w:u w:val="single"/>
        </w:rPr>
        <w:t>Truth-in-Savings</w:t>
      </w:r>
      <w:r w:rsidR="008B3E51">
        <w:rPr>
          <w:b/>
          <w:sz w:val="28"/>
          <w:szCs w:val="28"/>
          <w:u w:val="single"/>
        </w:rPr>
        <w:t xml:space="preserve"> </w:t>
      </w:r>
      <w:r w:rsidR="00CA3585">
        <w:rPr>
          <w:b/>
          <w:sz w:val="28"/>
          <w:szCs w:val="28"/>
          <w:u w:val="single"/>
        </w:rPr>
        <w:t>(</w:t>
      </w:r>
      <w:r w:rsidR="008B3E51">
        <w:rPr>
          <w:b/>
          <w:sz w:val="28"/>
          <w:szCs w:val="28"/>
          <w:u w:val="single"/>
        </w:rPr>
        <w:t>Regulation DD)</w:t>
      </w:r>
      <w:r w:rsidR="008B3E51" w:rsidRPr="008B3E51">
        <w:rPr>
          <w:b/>
          <w:sz w:val="28"/>
          <w:szCs w:val="28"/>
          <w:u w:val="single"/>
        </w:rPr>
        <w:t xml:space="preserve"> </w:t>
      </w:r>
      <w:r w:rsidR="008B3E51">
        <w:rPr>
          <w:b/>
          <w:sz w:val="28"/>
          <w:szCs w:val="28"/>
          <w:u w:val="single"/>
        </w:rPr>
        <w:t>12 CFR 1030</w:t>
      </w:r>
    </w:p>
    <w:p w14:paraId="0AF226A4" w14:textId="77777777" w:rsidR="000755BF" w:rsidRDefault="000755BF" w:rsidP="000755BF">
      <w:pPr>
        <w:rPr>
          <w:b/>
        </w:rPr>
      </w:pPr>
    </w:p>
    <w:p w14:paraId="092E6422" w14:textId="77777777" w:rsidR="00666BFC" w:rsidRPr="002B2436" w:rsidRDefault="00694B7E" w:rsidP="00694B7E">
      <w:pPr>
        <w:pStyle w:val="ListParagraph"/>
        <w:numPr>
          <w:ilvl w:val="0"/>
          <w:numId w:val="9"/>
        </w:numPr>
      </w:pPr>
      <w:r w:rsidRPr="002B2436">
        <w:t xml:space="preserve">Initial disclosures and periodic statements do not contain consistent terminology when describing bank fees. </w:t>
      </w:r>
      <w:r w:rsidRPr="002B2436">
        <w:rPr>
          <w:i/>
        </w:rPr>
        <w:t>Official Staff Commentary (OSC) to section 1030.3(a)-2</w:t>
      </w:r>
    </w:p>
    <w:p w14:paraId="0EFE8D69" w14:textId="77777777" w:rsidR="00666BFC" w:rsidRPr="002B2436" w:rsidRDefault="00666BFC" w:rsidP="00666BFC"/>
    <w:p w14:paraId="06C12372" w14:textId="21CF4D14" w:rsidR="00D72F0E" w:rsidRPr="00666BFC" w:rsidRDefault="00666BFC" w:rsidP="00666BFC">
      <w:pPr>
        <w:ind w:left="630"/>
      </w:pPr>
      <w:r w:rsidRPr="002B2436">
        <w:rPr>
          <w:rFonts w:eastAsiaTheme="minorEastAsia"/>
          <w:i/>
          <w:iCs/>
          <w:color w:val="FF0000"/>
        </w:rPr>
        <w:t>Consistent terminology. Institutions must use consistent terminology to describe terms or features required to be disclosed. For example, if an institution describes a monthly fee (regardless of account activity) as a “monthly service fee” in account-opening disclosures, the periodic statement and change-in-term notices must use the same terminology so that consumers can readily identify the fee.</w:t>
      </w:r>
      <w:r w:rsidR="00694B7E" w:rsidRPr="00666BFC">
        <w:br/>
      </w:r>
    </w:p>
    <w:p w14:paraId="3A7972EE" w14:textId="75CD88FA" w:rsidR="007F00ED" w:rsidRPr="00666BFC" w:rsidRDefault="008E3A89" w:rsidP="008E3A89">
      <w:pPr>
        <w:pStyle w:val="ListParagraph"/>
        <w:numPr>
          <w:ilvl w:val="0"/>
          <w:numId w:val="9"/>
        </w:numPr>
      </w:pPr>
      <w:r w:rsidRPr="00575537">
        <w:t>Disclosures required at account opening do not contain all required elements</w:t>
      </w:r>
      <w:r w:rsidR="00AB2754">
        <w:t>, such as minimum balance required to open the account, balance computation method, etc</w:t>
      </w:r>
      <w:r w:rsidRPr="00575537">
        <w:rPr>
          <w:i/>
        </w:rPr>
        <w:t>. 1030.4(b).</w:t>
      </w:r>
    </w:p>
    <w:p w14:paraId="690CC4B8" w14:textId="205F0FC6" w:rsidR="00666BFC" w:rsidRDefault="00666BFC" w:rsidP="00666BFC"/>
    <w:p w14:paraId="024D9A1A" w14:textId="77777777" w:rsidR="00666BFC" w:rsidRPr="00D43100" w:rsidRDefault="00666BFC" w:rsidP="00666BFC">
      <w:pPr>
        <w:pStyle w:val="NormalWeb"/>
        <w:kinsoku w:val="0"/>
        <w:overflowPunct w:val="0"/>
        <w:spacing w:before="67" w:beforeAutospacing="0" w:after="0" w:afterAutospacing="0"/>
        <w:ind w:left="720"/>
        <w:textAlignment w:val="baseline"/>
        <w:rPr>
          <w:i/>
          <w:sz w:val="22"/>
          <w:szCs w:val="22"/>
        </w:rPr>
      </w:pPr>
      <w:r w:rsidRPr="00D43100">
        <w:rPr>
          <w:i/>
          <w:iCs/>
          <w:color w:val="FF0000"/>
          <w:sz w:val="22"/>
          <w:szCs w:val="22"/>
        </w:rPr>
        <w:t xml:space="preserve">Account Disclosures shall include the following, as applicable:  Rate information, Compounding and credit frequency, Balance information, Fees, Transaction limitations, Feature of time accounts, and Bonuses if offered.  </w:t>
      </w:r>
    </w:p>
    <w:p w14:paraId="603AD5DF" w14:textId="77777777" w:rsidR="007F00ED" w:rsidRPr="00575537" w:rsidRDefault="007F00ED" w:rsidP="007F00ED"/>
    <w:p w14:paraId="11CB17A0" w14:textId="2F0CE3CF" w:rsidR="00633927" w:rsidRPr="00666BFC" w:rsidRDefault="00633927" w:rsidP="00694B7E">
      <w:pPr>
        <w:pStyle w:val="ListParagraph"/>
        <w:numPr>
          <w:ilvl w:val="0"/>
          <w:numId w:val="9"/>
        </w:numPr>
        <w:rPr>
          <w:i/>
        </w:rPr>
      </w:pPr>
      <w:r>
        <w:t xml:space="preserve">Certificate of Deposit </w:t>
      </w:r>
      <w:r w:rsidR="00EF1193">
        <w:t xml:space="preserve">(CD) </w:t>
      </w:r>
      <w:r>
        <w:t>renewal notices</w:t>
      </w:r>
      <w:r w:rsidR="00EF1193">
        <w:t xml:space="preserve"> with a term longer than one year that do not renew automatically </w:t>
      </w:r>
      <w:r>
        <w:t>do not contain all required disclosures</w:t>
      </w:r>
      <w:r w:rsidR="00EF1193">
        <w:t xml:space="preserve"> (i.e.</w:t>
      </w:r>
      <w:r w:rsidR="00D43100">
        <w:t>,</w:t>
      </w:r>
      <w:r w:rsidR="00EF1193">
        <w:t xml:space="preserve"> </w:t>
      </w:r>
      <w:r w:rsidR="00D43100">
        <w:t>m</w:t>
      </w:r>
      <w:r w:rsidR="00EF1193">
        <w:t>aturity date and whether interest will be paid after maturity)</w:t>
      </w:r>
      <w:r>
        <w:t>.</w:t>
      </w:r>
      <w:r w:rsidR="00EF1193">
        <w:t xml:space="preserve"> </w:t>
      </w:r>
      <w:r w:rsidR="00EF1193" w:rsidRPr="00EF1193">
        <w:rPr>
          <w:i/>
        </w:rPr>
        <w:t>1030.5(c)</w:t>
      </w:r>
      <w:r>
        <w:t xml:space="preserve"> </w:t>
      </w:r>
    </w:p>
    <w:p w14:paraId="2C4EEEB6" w14:textId="5AB85449" w:rsidR="00666BFC" w:rsidRDefault="00666BFC" w:rsidP="00666BFC">
      <w:pPr>
        <w:rPr>
          <w:i/>
        </w:rPr>
      </w:pPr>
    </w:p>
    <w:p w14:paraId="6C864B5C" w14:textId="7C60067F" w:rsidR="00666BFC" w:rsidRPr="00666BFC" w:rsidRDefault="00666BFC" w:rsidP="00666BFC">
      <w:pPr>
        <w:ind w:left="630"/>
        <w:rPr>
          <w:i/>
        </w:rPr>
      </w:pPr>
      <w:r w:rsidRPr="00666BFC">
        <w:rPr>
          <w:rFonts w:eastAsiaTheme="minorEastAsia"/>
          <w:b/>
          <w:bCs/>
          <w:i/>
          <w:iCs/>
          <w:color w:val="FF0000"/>
        </w:rPr>
        <w:t xml:space="preserve">Notice before maturity for time accounts longer than one year that do not renew automatically. </w:t>
      </w:r>
      <w:r w:rsidRPr="00666BFC">
        <w:rPr>
          <w:rFonts w:eastAsiaTheme="minorEastAsia"/>
          <w:i/>
          <w:iCs/>
          <w:color w:val="FF0000"/>
        </w:rPr>
        <w:t>For time accounts with a maturity longer than one year that do not renew automatically at maturity, institutions shall disclose to consumers the maturity date and whether interest will be paid after maturity. The disclosures shall be mailed or delivered at least 10 calendar days before.</w:t>
      </w:r>
    </w:p>
    <w:p w14:paraId="553747F6" w14:textId="77777777" w:rsidR="00EF1193" w:rsidRPr="00EF1193" w:rsidRDefault="00EF1193" w:rsidP="00EF1193">
      <w:pPr>
        <w:pStyle w:val="ListParagraph"/>
        <w:rPr>
          <w:i/>
        </w:rPr>
      </w:pPr>
    </w:p>
    <w:p w14:paraId="0E07EACB" w14:textId="17CD92AA" w:rsidR="00694B7E" w:rsidRPr="009529BA" w:rsidRDefault="002B2436" w:rsidP="009529BA">
      <w:pPr>
        <w:pStyle w:val="ListParagraph"/>
        <w:numPr>
          <w:ilvl w:val="0"/>
          <w:numId w:val="9"/>
        </w:numPr>
      </w:pPr>
      <w:r>
        <w:t>Deposit product brochure include</w:t>
      </w:r>
      <w:r w:rsidR="00D43100">
        <w:t>s</w:t>
      </w:r>
      <w:r>
        <w:t xml:space="preserve"> information that </w:t>
      </w:r>
      <w:r w:rsidR="00D43100">
        <w:t>is misleading or does</w:t>
      </w:r>
      <w:r>
        <w:t xml:space="preserve"> not accurately reflect the terms of an account. </w:t>
      </w:r>
      <w:r w:rsidRPr="009529BA">
        <w:rPr>
          <w:i/>
        </w:rPr>
        <w:t>1030.8(a)(1)</w:t>
      </w:r>
    </w:p>
    <w:p w14:paraId="2F8C3ED2" w14:textId="143A9F81" w:rsidR="00DB23D8" w:rsidRDefault="00DB23D8" w:rsidP="009529BA">
      <w:pPr>
        <w:pStyle w:val="ListParagraph"/>
        <w:ind w:left="630"/>
      </w:pPr>
    </w:p>
    <w:p w14:paraId="2805D648" w14:textId="61C52890" w:rsidR="00DB23D8" w:rsidRDefault="00DB23D8" w:rsidP="009529BA">
      <w:pPr>
        <w:pStyle w:val="ListParagraph"/>
        <w:ind w:left="630"/>
        <w:rPr>
          <w:i/>
          <w:color w:val="FF0000"/>
        </w:rPr>
      </w:pPr>
      <w:r w:rsidRPr="00D43100">
        <w:rPr>
          <w:i/>
          <w:color w:val="FF0000"/>
        </w:rPr>
        <w:t>All advertisements of deposit products, including mark</w:t>
      </w:r>
      <w:r w:rsidR="00D8072F" w:rsidRPr="00D43100">
        <w:rPr>
          <w:i/>
          <w:color w:val="FF0000"/>
        </w:rPr>
        <w:t>et</w:t>
      </w:r>
      <w:r w:rsidRPr="00D43100">
        <w:rPr>
          <w:i/>
          <w:color w:val="FF0000"/>
        </w:rPr>
        <w:t xml:space="preserve">ing brochures, must not be misleading or misrepresent the Bank’s deposit contract. </w:t>
      </w:r>
    </w:p>
    <w:p w14:paraId="63B2068F" w14:textId="2D7EE1F5" w:rsidR="00D43100" w:rsidRDefault="00D43100" w:rsidP="009529BA">
      <w:pPr>
        <w:pStyle w:val="ListParagraph"/>
        <w:ind w:left="630"/>
        <w:rPr>
          <w:i/>
          <w:color w:val="FF0000"/>
        </w:rPr>
      </w:pPr>
      <w:r w:rsidRPr="00D43100">
        <w:rPr>
          <w:i/>
          <w:noProof/>
          <w:color w:val="FF0000"/>
        </w:rPr>
        <mc:AlternateContent>
          <mc:Choice Requires="wps">
            <w:drawing>
              <wp:anchor distT="45720" distB="45720" distL="114300" distR="114300" simplePos="0" relativeHeight="251659264" behindDoc="0" locked="0" layoutInCell="1" allowOverlap="1" wp14:anchorId="5677E472" wp14:editId="1BA12F00">
                <wp:simplePos x="0" y="0"/>
                <wp:positionH relativeFrom="column">
                  <wp:posOffset>411480</wp:posOffset>
                </wp:positionH>
                <wp:positionV relativeFrom="paragraph">
                  <wp:posOffset>342900</wp:posOffset>
                </wp:positionV>
                <wp:extent cx="5463540" cy="1043940"/>
                <wp:effectExtent l="0" t="0" r="2286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104394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6A02487" w14:textId="40DAF1C2" w:rsidR="00D43100" w:rsidRPr="008662A9" w:rsidRDefault="00D43100" w:rsidP="00D43100">
                            <w:pPr>
                              <w:rPr>
                                <w:b/>
                              </w:rPr>
                            </w:pPr>
                            <w:r w:rsidRPr="00D43100">
                              <w:rPr>
                                <w:b/>
                                <w:color w:val="000000" w:themeColor="text1"/>
                                <w:sz w:val="28"/>
                              </w:rPr>
                              <w:t xml:space="preserve">Spot the violation #1: </w:t>
                            </w:r>
                            <w:r w:rsidRPr="00D43100">
                              <w:rPr>
                                <w:b/>
                                <w:sz w:val="24"/>
                              </w:rPr>
                              <w:t>CD Maturity Notice – Non-Renewable CD</w:t>
                            </w:r>
                          </w:p>
                          <w:p w14:paraId="08A624D7" w14:textId="77777777" w:rsidR="00D43100" w:rsidRDefault="00D43100" w:rsidP="00D43100">
                            <w:pPr>
                              <w:pStyle w:val="ListParagraph"/>
                            </w:pPr>
                          </w:p>
                          <w:p w14:paraId="68DFFEC1" w14:textId="40E6A8F0" w:rsidR="00D43100" w:rsidRPr="003F63BE" w:rsidRDefault="003E5822" w:rsidP="00D43100">
                            <w:pPr>
                              <w:pStyle w:val="ListParagraph"/>
                              <w:numPr>
                                <w:ilvl w:val="0"/>
                                <w:numId w:val="23"/>
                              </w:numPr>
                              <w:rPr>
                                <w:color w:val="FF0000"/>
                              </w:rPr>
                            </w:pPr>
                            <w:r w:rsidRPr="003E5822">
                              <w:rPr>
                                <w:b/>
                                <w:color w:val="FF0000"/>
                              </w:rPr>
                              <w:t>Answer:</w:t>
                            </w:r>
                            <w:r>
                              <w:rPr>
                                <w:color w:val="FF0000"/>
                              </w:rPr>
                              <w:t xml:space="preserve"> </w:t>
                            </w:r>
                            <w:r w:rsidR="00D43100" w:rsidRPr="003F63BE">
                              <w:rPr>
                                <w:color w:val="FF0000"/>
                              </w:rPr>
                              <w:t xml:space="preserve">CD maturity notice does not state whether interest will be paid after maturity. </w:t>
                            </w:r>
                            <w:r w:rsidR="00D43100" w:rsidRPr="003F63BE">
                              <w:rPr>
                                <w:i/>
                                <w:color w:val="FF0000"/>
                              </w:rPr>
                              <w:t>1030.5(c)</w:t>
                            </w:r>
                          </w:p>
                          <w:p w14:paraId="743D2A38" w14:textId="77777777" w:rsidR="00D43100" w:rsidRDefault="00D43100" w:rsidP="00D43100"/>
                          <w:p w14:paraId="3C4FCE01" w14:textId="4B456906" w:rsidR="00D43100" w:rsidRDefault="00D4310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77E472" id="_x0000_t202" coordsize="21600,21600" o:spt="202" path="m,l,21600r21600,l21600,xe">
                <v:stroke joinstyle="miter"/>
                <v:path gradientshapeok="t" o:connecttype="rect"/>
              </v:shapetype>
              <v:shape id="Text Box 2" o:spid="_x0000_s1026" type="#_x0000_t202" style="position:absolute;left:0;text-align:left;margin-left:32.4pt;margin-top:27pt;width:430.2pt;height:82.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" fillcolor="white [3201]" strokecolor="#4f81bd [3204]" strokeweight="2pt">
                <v:textbox>
                  <w:txbxContent>
                    <w:p w14:paraId="46A02487" w14:textId="40DAF1C2" w:rsidR="00D43100" w:rsidRPr="008662A9" w:rsidRDefault="00D43100" w:rsidP="00D43100">
                      <w:pPr>
                        <w:rPr>
                          <w:b/>
                        </w:rPr>
                      </w:pPr>
                      <w:r w:rsidRPr="00D43100">
                        <w:rPr>
                          <w:b/>
                          <w:color w:val="000000" w:themeColor="text1"/>
                          <w:sz w:val="28"/>
                        </w:rPr>
                        <w:t xml:space="preserve">Spot the violation #1: </w:t>
                      </w:r>
                      <w:r w:rsidRPr="00D43100">
                        <w:rPr>
                          <w:b/>
                          <w:sz w:val="24"/>
                        </w:rPr>
                        <w:t>CD Maturity Notice – Non-Renewable CD</w:t>
                      </w:r>
                    </w:p>
                    <w:p w14:paraId="08A624D7" w14:textId="77777777" w:rsidR="00D43100" w:rsidRDefault="00D43100" w:rsidP="00D43100">
                      <w:pPr>
                        <w:pStyle w:val="ListParagraph"/>
                      </w:pPr>
                    </w:p>
                    <w:p w14:paraId="68DFFEC1" w14:textId="40E6A8F0" w:rsidR="00D43100" w:rsidRPr="003F63BE" w:rsidRDefault="003E5822" w:rsidP="00D43100">
                      <w:pPr>
                        <w:pStyle w:val="ListParagraph"/>
                        <w:numPr>
                          <w:ilvl w:val="0"/>
                          <w:numId w:val="23"/>
                        </w:numPr>
                        <w:rPr>
                          <w:color w:val="FF0000"/>
                        </w:rPr>
                      </w:pPr>
                      <w:r w:rsidRPr="003E5822">
                        <w:rPr>
                          <w:b/>
                          <w:color w:val="FF0000"/>
                        </w:rPr>
                        <w:t>Answer:</w:t>
                      </w:r>
                      <w:r>
                        <w:rPr>
                          <w:color w:val="FF0000"/>
                        </w:rPr>
                        <w:t xml:space="preserve"> </w:t>
                      </w:r>
                      <w:r w:rsidR="00D43100" w:rsidRPr="003F63BE">
                        <w:rPr>
                          <w:color w:val="FF0000"/>
                        </w:rPr>
                        <w:t xml:space="preserve">CD maturity notice does not state whether interest will be paid after maturity. </w:t>
                      </w:r>
                      <w:r w:rsidR="00D43100" w:rsidRPr="003F63BE">
                        <w:rPr>
                          <w:i/>
                          <w:color w:val="FF0000"/>
                        </w:rPr>
                        <w:t>1030.5(c)</w:t>
                      </w:r>
                    </w:p>
                    <w:p w14:paraId="743D2A38" w14:textId="77777777" w:rsidR="00D43100" w:rsidRDefault="00D43100" w:rsidP="00D43100"/>
                    <w:p w14:paraId="3C4FCE01" w14:textId="4B456906" w:rsidR="00D43100" w:rsidRDefault="00D43100"/>
                  </w:txbxContent>
                </v:textbox>
                <w10:wrap type="square"/>
              </v:shape>
            </w:pict>
          </mc:Fallback>
        </mc:AlternateContent>
      </w:r>
    </w:p>
    <w:p w14:paraId="09628547" w14:textId="0D7A7B3D" w:rsidR="00D43100" w:rsidRPr="00D43100" w:rsidRDefault="00D43100" w:rsidP="009529BA">
      <w:pPr>
        <w:pStyle w:val="ListParagraph"/>
        <w:ind w:left="630"/>
        <w:rPr>
          <w:i/>
          <w:color w:val="FF0000"/>
        </w:rPr>
      </w:pPr>
    </w:p>
    <w:p w14:paraId="3D3F288C" w14:textId="2B31B87A" w:rsidR="00DB23D8" w:rsidRPr="009529BA" w:rsidRDefault="00DB23D8" w:rsidP="009529BA">
      <w:pPr>
        <w:pStyle w:val="ListParagraph"/>
        <w:ind w:left="630"/>
        <w:rPr>
          <w:color w:val="FF0000"/>
        </w:rPr>
      </w:pPr>
    </w:p>
    <w:p w14:paraId="279C1783" w14:textId="77777777" w:rsidR="00D43100" w:rsidRDefault="00D43100" w:rsidP="00EF1193">
      <w:pPr>
        <w:rPr>
          <w:b/>
          <w:color w:val="000000" w:themeColor="text1"/>
          <w:sz w:val="28"/>
        </w:rPr>
      </w:pPr>
    </w:p>
    <w:p w14:paraId="44B2E7A2" w14:textId="77777777" w:rsidR="00D43100" w:rsidRDefault="00D43100" w:rsidP="00EF1193">
      <w:pPr>
        <w:rPr>
          <w:b/>
          <w:color w:val="000000" w:themeColor="text1"/>
          <w:sz w:val="28"/>
        </w:rPr>
      </w:pPr>
    </w:p>
    <w:p w14:paraId="523395AE" w14:textId="77777777" w:rsidR="00D43100" w:rsidRDefault="00D43100" w:rsidP="00EF1193">
      <w:pPr>
        <w:rPr>
          <w:b/>
          <w:color w:val="000000" w:themeColor="text1"/>
          <w:sz w:val="28"/>
        </w:rPr>
      </w:pPr>
    </w:p>
    <w:p w14:paraId="192684EA" w14:textId="77777777" w:rsidR="00D43100" w:rsidRDefault="00D43100" w:rsidP="00EF1193">
      <w:pPr>
        <w:rPr>
          <w:b/>
          <w:color w:val="000000" w:themeColor="text1"/>
          <w:sz w:val="28"/>
        </w:rPr>
      </w:pPr>
    </w:p>
    <w:p w14:paraId="53D947CA" w14:textId="6FD00806" w:rsidR="00D72F0E" w:rsidRPr="008B3E51" w:rsidRDefault="008B3E51" w:rsidP="00D72F0E">
      <w:pPr>
        <w:rPr>
          <w:b/>
          <w:sz w:val="28"/>
          <w:szCs w:val="28"/>
          <w:u w:val="single"/>
        </w:rPr>
      </w:pPr>
      <w:r>
        <w:rPr>
          <w:b/>
          <w:sz w:val="28"/>
          <w:szCs w:val="28"/>
          <w:u w:val="single"/>
        </w:rPr>
        <w:lastRenderedPageBreak/>
        <w:t>Electronic Fund Transfers (Regulation E) 12 CFR 1005</w:t>
      </w:r>
    </w:p>
    <w:p w14:paraId="51A3F8C2" w14:textId="77777777" w:rsidR="00D72F0E" w:rsidRDefault="00D72F0E" w:rsidP="00D72F0E">
      <w:pPr>
        <w:rPr>
          <w:b/>
        </w:rPr>
      </w:pPr>
    </w:p>
    <w:p w14:paraId="6AAB1EA3" w14:textId="77777777" w:rsidR="00666BFC" w:rsidRPr="00666BFC" w:rsidRDefault="008E3A89" w:rsidP="00D8072F">
      <w:pPr>
        <w:pStyle w:val="ListParagraph"/>
        <w:numPr>
          <w:ilvl w:val="0"/>
          <w:numId w:val="10"/>
        </w:numPr>
        <w:ind w:left="634"/>
      </w:pPr>
      <w:r w:rsidRPr="00575537">
        <w:t>Personnel failed to document final resolution</w:t>
      </w:r>
      <w:r w:rsidR="00130D19">
        <w:t xml:space="preserve"> date</w:t>
      </w:r>
      <w:r w:rsidRPr="00575537">
        <w:t xml:space="preserve"> of bank investigation of error and date on which personnel notified the customer of the investigation results. </w:t>
      </w:r>
      <w:r w:rsidRPr="00575537">
        <w:rPr>
          <w:i/>
        </w:rPr>
        <w:t>1005.11(c)(1)</w:t>
      </w:r>
    </w:p>
    <w:p w14:paraId="088607D6" w14:textId="77777777" w:rsidR="00666BFC" w:rsidRDefault="00666BFC" w:rsidP="00666BFC">
      <w:pPr>
        <w:rPr>
          <w:i/>
        </w:rPr>
      </w:pPr>
    </w:p>
    <w:p w14:paraId="554AE10B" w14:textId="26230BF0" w:rsidR="00666BFC" w:rsidRPr="003F63BE" w:rsidRDefault="00666BFC" w:rsidP="00666BFC">
      <w:pPr>
        <w:pStyle w:val="NormalWeb"/>
        <w:kinsoku w:val="0"/>
        <w:overflowPunct w:val="0"/>
        <w:spacing w:before="0" w:beforeAutospacing="0" w:after="0" w:afterAutospacing="0"/>
        <w:ind w:left="720"/>
        <w:textAlignment w:val="baseline"/>
        <w:rPr>
          <w:rFonts w:eastAsiaTheme="minorEastAsia"/>
          <w:i/>
          <w:color w:val="FF0000"/>
          <w:sz w:val="22"/>
          <w:szCs w:val="22"/>
        </w:rPr>
      </w:pPr>
      <w:r w:rsidRPr="00666BFC">
        <w:rPr>
          <w:rFonts w:eastAsiaTheme="minorEastAsia"/>
          <w:color w:val="FF0000"/>
          <w:sz w:val="22"/>
          <w:szCs w:val="22"/>
        </w:rPr>
        <w:t>(c) </w:t>
      </w:r>
      <w:r w:rsidRPr="00666BFC">
        <w:rPr>
          <w:rFonts w:eastAsiaTheme="minorEastAsia"/>
          <w:i/>
          <w:iCs/>
          <w:color w:val="FF0000"/>
          <w:sz w:val="22"/>
          <w:szCs w:val="22"/>
        </w:rPr>
        <w:t>Time limits and extent of investigation.</w:t>
      </w:r>
      <w:r w:rsidRPr="00666BFC">
        <w:rPr>
          <w:rFonts w:eastAsiaTheme="minorEastAsia"/>
          <w:color w:val="FF0000"/>
          <w:sz w:val="22"/>
          <w:szCs w:val="22"/>
        </w:rPr>
        <w:t> (1) </w:t>
      </w:r>
      <w:r w:rsidRPr="00666BFC">
        <w:rPr>
          <w:rFonts w:eastAsiaTheme="minorEastAsia"/>
          <w:i/>
          <w:iCs/>
          <w:color w:val="FF0000"/>
          <w:sz w:val="22"/>
          <w:szCs w:val="22"/>
        </w:rPr>
        <w:t>Ten-day period.</w:t>
      </w:r>
      <w:r w:rsidRPr="00666BFC">
        <w:rPr>
          <w:rFonts w:eastAsiaTheme="minorEastAsia"/>
          <w:color w:val="FF0000"/>
          <w:sz w:val="22"/>
          <w:szCs w:val="22"/>
        </w:rPr>
        <w:t> </w:t>
      </w:r>
      <w:r w:rsidRPr="003F63BE">
        <w:rPr>
          <w:rFonts w:eastAsiaTheme="minorEastAsia"/>
          <w:i/>
          <w:color w:val="FF0000"/>
          <w:sz w:val="22"/>
          <w:szCs w:val="22"/>
        </w:rPr>
        <w:t xml:space="preserve">A financial institution shall investigate promptly and, except as otherwise provided in this paragraph (c), shall determine whether an error occurred within 10 business days of receiving a notice of error. The institution shall report the results to the consumer within </w:t>
      </w:r>
      <w:r w:rsidR="003F63BE" w:rsidRPr="003F63BE">
        <w:rPr>
          <w:rFonts w:eastAsiaTheme="minorEastAsia"/>
          <w:b/>
          <w:i/>
          <w:color w:val="FF0000"/>
          <w:sz w:val="22"/>
          <w:szCs w:val="22"/>
        </w:rPr>
        <w:t>3</w:t>
      </w:r>
      <w:r w:rsidRPr="003F63BE">
        <w:rPr>
          <w:rFonts w:eastAsiaTheme="minorEastAsia"/>
          <w:b/>
          <w:i/>
          <w:color w:val="FF0000"/>
          <w:sz w:val="22"/>
          <w:szCs w:val="22"/>
        </w:rPr>
        <w:t xml:space="preserve"> business days</w:t>
      </w:r>
      <w:r w:rsidRPr="003F63BE">
        <w:rPr>
          <w:rFonts w:eastAsiaTheme="minorEastAsia"/>
          <w:i/>
          <w:color w:val="FF0000"/>
          <w:sz w:val="22"/>
          <w:szCs w:val="22"/>
        </w:rPr>
        <w:t xml:space="preserve"> after completing its investigation. The institution shall correct the error within </w:t>
      </w:r>
      <w:r w:rsidR="003F63BE" w:rsidRPr="003F63BE">
        <w:rPr>
          <w:rFonts w:eastAsiaTheme="minorEastAsia"/>
          <w:b/>
          <w:i/>
          <w:color w:val="FF0000"/>
          <w:sz w:val="22"/>
          <w:szCs w:val="22"/>
        </w:rPr>
        <w:t>1</w:t>
      </w:r>
      <w:r w:rsidRPr="003F63BE">
        <w:rPr>
          <w:rFonts w:eastAsiaTheme="minorEastAsia"/>
          <w:b/>
          <w:i/>
          <w:color w:val="FF0000"/>
          <w:sz w:val="22"/>
          <w:szCs w:val="22"/>
        </w:rPr>
        <w:t xml:space="preserve"> business day</w:t>
      </w:r>
      <w:r w:rsidRPr="003F63BE">
        <w:rPr>
          <w:rFonts w:eastAsiaTheme="minorEastAsia"/>
          <w:i/>
          <w:color w:val="FF0000"/>
          <w:sz w:val="22"/>
          <w:szCs w:val="22"/>
        </w:rPr>
        <w:t xml:space="preserve"> after determining that an error occurred.</w:t>
      </w:r>
    </w:p>
    <w:p w14:paraId="73573257" w14:textId="77777777" w:rsidR="009529BA" w:rsidRPr="00666BFC" w:rsidRDefault="009529BA" w:rsidP="00666BFC">
      <w:pPr>
        <w:pStyle w:val="NormalWeb"/>
        <w:kinsoku w:val="0"/>
        <w:overflowPunct w:val="0"/>
        <w:spacing w:before="0" w:beforeAutospacing="0" w:after="0" w:afterAutospacing="0"/>
        <w:ind w:left="720"/>
        <w:textAlignment w:val="baseline"/>
        <w:rPr>
          <w:sz w:val="22"/>
          <w:szCs w:val="22"/>
        </w:rPr>
      </w:pPr>
    </w:p>
    <w:p w14:paraId="190620C3" w14:textId="74B0258D" w:rsidR="002C0EFF" w:rsidRPr="00EA44B7" w:rsidRDefault="00227B32" w:rsidP="00D8072F">
      <w:pPr>
        <w:ind w:left="634" w:hanging="360"/>
        <w:rPr>
          <w:rFonts w:eastAsia="Times New Roman"/>
          <w:b/>
          <w:i/>
        </w:rPr>
      </w:pPr>
      <w:r>
        <w:t xml:space="preserve">2. </w:t>
      </w:r>
      <w:r w:rsidR="00D8072F">
        <w:t xml:space="preserve">  </w:t>
      </w:r>
      <w:r w:rsidR="00DB23D8">
        <w:t xml:space="preserve">Bank uses a third party to process error resolution claims. The third party’s documentation of the error resolution does not document the date on which the investigation </w:t>
      </w:r>
      <w:r w:rsidR="003F63BE">
        <w:t>was completed</w:t>
      </w:r>
      <w:r w:rsidR="00DB23D8">
        <w:t xml:space="preserve">.  In addition, the third party waited the full 90 days for POS transaction errors </w:t>
      </w:r>
      <w:r w:rsidR="00E14B9A">
        <w:t>before conducting a final review and closing the file. In some cases, the merchant had returned the disputed amount to the customer approximately 45 days after the date on which the customer reported the error yet the third party didn’t consider the investigation complete until the 90</w:t>
      </w:r>
      <w:r w:rsidR="00E14B9A" w:rsidRPr="009529BA">
        <w:rPr>
          <w:vertAlign w:val="superscript"/>
        </w:rPr>
        <w:t>th</w:t>
      </w:r>
      <w:r w:rsidR="00E14B9A">
        <w:t xml:space="preserve"> day.</w:t>
      </w:r>
      <w:r w:rsidR="00C9205E">
        <w:t xml:space="preserve"> </w:t>
      </w:r>
      <w:r w:rsidR="002C0EFF" w:rsidRPr="00EA44B7">
        <w:rPr>
          <w:b/>
          <w:i/>
          <w:shd w:val="clear" w:color="auto" w:fill="FFFFFF"/>
        </w:rPr>
        <w:t>1005.11(c)</w:t>
      </w:r>
      <w:r w:rsidR="002C0EFF" w:rsidRPr="00EA44B7">
        <w:rPr>
          <w:i/>
          <w:shd w:val="clear" w:color="auto" w:fill="FFFFFF"/>
        </w:rPr>
        <w:t xml:space="preserve"> </w:t>
      </w:r>
      <w:r w:rsidR="002C0EFF" w:rsidRPr="00EA44B7">
        <w:rPr>
          <w:rFonts w:eastAsia="Times New Roman"/>
          <w:b/>
          <w:i/>
        </w:rPr>
        <w:fldChar w:fldCharType="begin"/>
      </w:r>
      <w:r w:rsidR="002C0EFF" w:rsidRPr="00EA44B7">
        <w:rPr>
          <w:rFonts w:eastAsia="Times New Roman"/>
          <w:b/>
          <w:i/>
        </w:rPr>
        <w:instrText xml:space="preserve"> &lt;xsl:for-each select="TmData/PROJECT/ISSUES/ISSUE"&gt; </w:instrText>
      </w:r>
      <w:r w:rsidR="002C0EFF" w:rsidRPr="00EA44B7">
        <w:rPr>
          <w:rFonts w:eastAsia="Times New Roman"/>
          <w:b/>
          <w:i/>
        </w:rPr>
        <w:fldChar w:fldCharType="end"/>
      </w:r>
    </w:p>
    <w:p w14:paraId="1B239F80" w14:textId="77777777" w:rsidR="002C0EFF" w:rsidRDefault="002C0EFF" w:rsidP="002C0EFF">
      <w:pPr>
        <w:widowControl w:val="0"/>
        <w:tabs>
          <w:tab w:val="left" w:pos="720"/>
          <w:tab w:val="left" w:pos="1440"/>
          <w:tab w:val="left" w:pos="2160"/>
          <w:tab w:val="left" w:pos="4896"/>
          <w:tab w:val="left" w:pos="6336"/>
        </w:tabs>
        <w:rPr>
          <w:rFonts w:eastAsia="Times New Roman"/>
        </w:rPr>
      </w:pPr>
      <w:r>
        <w:rPr>
          <w:rFonts w:eastAsia="Times New Roman"/>
        </w:rPr>
        <w:fldChar w:fldCharType="begin"/>
      </w:r>
      <w:r>
        <w:rPr>
          <w:rFonts w:eastAsia="Times New Roman"/>
        </w:rPr>
        <w:instrText xml:space="preserve"> &lt;xsl:if test="TYPE = 'Deposits - Reg. E'"&gt;</w:instrText>
      </w:r>
      <w:r>
        <w:rPr>
          <w:rFonts w:eastAsia="Times New Roman"/>
        </w:rPr>
        <w:fldChar w:fldCharType="end"/>
      </w:r>
      <w:r w:rsidRPr="002D7A52">
        <w:rPr>
          <w:rFonts w:eastAsia="Times New Roman"/>
          <w:b/>
        </w:rPr>
        <w:fldChar w:fldCharType="begin"/>
      </w:r>
      <w:r w:rsidRPr="002D7A52">
        <w:rPr>
          <w:rFonts w:eastAsia="Times New Roman"/>
          <w:b/>
        </w:rPr>
        <w:instrText xml:space="preserve"> &lt;xsl:value-of select="TYPE"/&gt; </w:instrText>
      </w:r>
      <w:r w:rsidRPr="002D7A52">
        <w:rPr>
          <w:rFonts w:eastAsia="Times New Roman"/>
          <w:b/>
        </w:rPr>
        <w:fldChar w:fldCharType="end"/>
      </w:r>
    </w:p>
    <w:p w14:paraId="5856CB58" w14:textId="4E690F48" w:rsidR="00CA3585" w:rsidRPr="00D8072F" w:rsidRDefault="00CA3585" w:rsidP="009529BA">
      <w:pPr>
        <w:ind w:left="630"/>
        <w:rPr>
          <w:rFonts w:eastAsia="Times New Roman"/>
          <w:bCs/>
          <w:i/>
          <w:color w:val="FF0000"/>
        </w:rPr>
      </w:pPr>
      <w:r w:rsidRPr="00D8072F">
        <w:rPr>
          <w:rFonts w:eastAsia="Times New Roman"/>
          <w:b/>
          <w:bCs/>
          <w:i/>
          <w:color w:val="FF0000"/>
        </w:rPr>
        <w:t>(2)(iv)</w:t>
      </w:r>
      <w:r w:rsidRPr="00D8072F">
        <w:rPr>
          <w:rFonts w:eastAsia="Times New Roman"/>
          <w:bCs/>
          <w:i/>
          <w:color w:val="FF0000"/>
        </w:rPr>
        <w:t xml:space="preserve"> </w:t>
      </w:r>
      <w:proofErr w:type="gramStart"/>
      <w:r w:rsidRPr="00D8072F">
        <w:rPr>
          <w:rFonts w:eastAsia="Times New Roman"/>
          <w:bCs/>
          <w:i/>
          <w:color w:val="FF0000"/>
        </w:rPr>
        <w:t>requires</w:t>
      </w:r>
      <w:proofErr w:type="gramEnd"/>
      <w:r w:rsidRPr="00D8072F">
        <w:rPr>
          <w:rFonts w:eastAsia="Times New Roman"/>
          <w:bCs/>
          <w:i/>
          <w:color w:val="FF0000"/>
        </w:rPr>
        <w:t xml:space="preserve"> the financial institution to report the results to the consumer </w:t>
      </w:r>
      <w:r w:rsidRPr="00D8072F">
        <w:rPr>
          <w:rFonts w:eastAsia="Times New Roman"/>
          <w:bCs/>
          <w:i/>
          <w:color w:val="FF0000"/>
          <w:u w:val="single"/>
        </w:rPr>
        <w:t>within three business days after completing its investigation</w:t>
      </w:r>
      <w:r w:rsidRPr="00D8072F">
        <w:rPr>
          <w:rFonts w:eastAsia="Times New Roman"/>
          <w:bCs/>
          <w:i/>
          <w:color w:val="FF0000"/>
        </w:rPr>
        <w:t xml:space="preserve"> (including, if applicable, notice that a provisional credit has been made final).</w:t>
      </w:r>
    </w:p>
    <w:p w14:paraId="77BA7C65" w14:textId="77777777" w:rsidR="00CA3585" w:rsidRPr="00D8072F" w:rsidRDefault="00CA3585" w:rsidP="009529BA">
      <w:pPr>
        <w:ind w:left="630"/>
        <w:rPr>
          <w:i/>
          <w:color w:val="FF0000"/>
        </w:rPr>
      </w:pPr>
    </w:p>
    <w:p w14:paraId="7C5239B7" w14:textId="22A862D5" w:rsidR="00CA3585" w:rsidRPr="00D8072F" w:rsidRDefault="00CA3585" w:rsidP="009529BA">
      <w:pPr>
        <w:ind w:left="630"/>
        <w:rPr>
          <w:rFonts w:eastAsia="Times New Roman"/>
          <w:bCs/>
          <w:i/>
          <w:color w:val="FF0000"/>
        </w:rPr>
      </w:pPr>
      <w:r w:rsidRPr="00D8072F">
        <w:rPr>
          <w:rFonts w:eastAsia="Times New Roman"/>
          <w:bCs/>
          <w:i/>
          <w:color w:val="FF0000"/>
        </w:rPr>
        <w:t>While 90 days is the allowable time for investigating an error of this type; the intent of the rule is to conduct an ongoing investigation up to the 90 days.  It appeared from case notes that the investigations were not ongoing. The vendor completed a final review at the 90 day period but case notes indicated the cardholder had funds returned by the merchant 45 days prior</w:t>
      </w:r>
      <w:r w:rsidR="002C4A24" w:rsidRPr="00D8072F">
        <w:rPr>
          <w:rFonts w:eastAsia="Times New Roman"/>
          <w:bCs/>
          <w:i/>
          <w:color w:val="FF0000"/>
        </w:rPr>
        <w:t xml:space="preserve">. </w:t>
      </w:r>
      <w:r w:rsidRPr="00D8072F">
        <w:rPr>
          <w:rFonts w:eastAsia="Times New Roman"/>
          <w:bCs/>
          <w:i/>
          <w:color w:val="FF0000"/>
        </w:rPr>
        <w:t>In these cases</w:t>
      </w:r>
      <w:r w:rsidR="002C4A24" w:rsidRPr="00D8072F">
        <w:rPr>
          <w:rFonts w:eastAsia="Times New Roman"/>
          <w:bCs/>
          <w:i/>
          <w:color w:val="FF0000"/>
        </w:rPr>
        <w:t>,</w:t>
      </w:r>
      <w:r w:rsidRPr="00D8072F">
        <w:rPr>
          <w:rFonts w:eastAsia="Times New Roman"/>
          <w:bCs/>
          <w:i/>
          <w:color w:val="FF0000"/>
        </w:rPr>
        <w:t xml:space="preserve"> this would be when the error was final and proper notification should </w:t>
      </w:r>
      <w:r w:rsidR="002C4A24" w:rsidRPr="00D8072F">
        <w:rPr>
          <w:rFonts w:eastAsia="Times New Roman"/>
          <w:bCs/>
          <w:i/>
          <w:color w:val="FF0000"/>
        </w:rPr>
        <w:t>occur.</w:t>
      </w:r>
      <w:r w:rsidRPr="00D8072F">
        <w:rPr>
          <w:rFonts w:eastAsia="Times New Roman"/>
          <w:bCs/>
          <w:i/>
          <w:color w:val="FF0000"/>
        </w:rPr>
        <w:t xml:space="preserve"> </w:t>
      </w:r>
    </w:p>
    <w:p w14:paraId="4C85CBC6" w14:textId="77777777" w:rsidR="00CA3585" w:rsidRPr="00D8072F" w:rsidRDefault="00CA3585" w:rsidP="009529BA">
      <w:pPr>
        <w:ind w:left="630"/>
        <w:rPr>
          <w:i/>
          <w:color w:val="FF0000"/>
        </w:rPr>
      </w:pPr>
    </w:p>
    <w:p w14:paraId="2524D734" w14:textId="647736FF" w:rsidR="008F4755" w:rsidRPr="00D8072F" w:rsidRDefault="00E14B9A" w:rsidP="009529BA">
      <w:pPr>
        <w:ind w:left="630"/>
        <w:rPr>
          <w:i/>
          <w:color w:val="FF0000"/>
        </w:rPr>
      </w:pPr>
      <w:r w:rsidRPr="00D8072F">
        <w:rPr>
          <w:i/>
          <w:color w:val="FF0000"/>
        </w:rPr>
        <w:t xml:space="preserve">The Bank is ultimately responsible to ensure </w:t>
      </w:r>
      <w:r w:rsidR="008F4755" w:rsidRPr="00D8072F">
        <w:rPr>
          <w:i/>
          <w:color w:val="FF0000"/>
        </w:rPr>
        <w:t xml:space="preserve">EFT error claims are resolved in compliance with </w:t>
      </w:r>
      <w:proofErr w:type="spellStart"/>
      <w:r w:rsidR="008F4755" w:rsidRPr="00D8072F">
        <w:rPr>
          <w:i/>
          <w:color w:val="FF0000"/>
        </w:rPr>
        <w:t>Reg</w:t>
      </w:r>
      <w:proofErr w:type="spellEnd"/>
      <w:r w:rsidR="008F4755" w:rsidRPr="00D8072F">
        <w:rPr>
          <w:i/>
          <w:color w:val="FF0000"/>
        </w:rPr>
        <w:t xml:space="preserve"> E. The Bank may contract the processing of EFT errors to a </w:t>
      </w:r>
      <w:r w:rsidRPr="00D8072F">
        <w:rPr>
          <w:i/>
          <w:color w:val="FF0000"/>
        </w:rPr>
        <w:t xml:space="preserve">third party </w:t>
      </w:r>
      <w:r w:rsidR="008F4755" w:rsidRPr="00D8072F">
        <w:rPr>
          <w:i/>
          <w:color w:val="FF0000"/>
        </w:rPr>
        <w:t>but the Bank cannot contract away</w:t>
      </w:r>
      <w:r w:rsidR="00C9205E" w:rsidRPr="00D8072F">
        <w:rPr>
          <w:i/>
          <w:color w:val="FF0000"/>
        </w:rPr>
        <w:t xml:space="preserve"> </w:t>
      </w:r>
      <w:r w:rsidR="008F4755" w:rsidRPr="00D8072F">
        <w:rPr>
          <w:i/>
          <w:color w:val="FF0000"/>
        </w:rPr>
        <w:t xml:space="preserve">violations. Personnel should </w:t>
      </w:r>
      <w:r w:rsidR="00C9205E" w:rsidRPr="00D8072F">
        <w:rPr>
          <w:i/>
          <w:color w:val="FF0000"/>
        </w:rPr>
        <w:t xml:space="preserve">periodically </w:t>
      </w:r>
      <w:r w:rsidR="008F4755" w:rsidRPr="00D8072F">
        <w:rPr>
          <w:i/>
          <w:color w:val="FF0000"/>
        </w:rPr>
        <w:t>review</w:t>
      </w:r>
      <w:r w:rsidR="00C9205E" w:rsidRPr="00D8072F">
        <w:rPr>
          <w:i/>
          <w:color w:val="FF0000"/>
        </w:rPr>
        <w:t xml:space="preserve"> documentation provided by the third party to ensure they are compliant with error resolution requirements.</w:t>
      </w:r>
      <w:r w:rsidR="008F4755" w:rsidRPr="00D8072F">
        <w:rPr>
          <w:i/>
          <w:color w:val="FF0000"/>
        </w:rPr>
        <w:t xml:space="preserve"> </w:t>
      </w:r>
    </w:p>
    <w:p w14:paraId="6B4ED4D5" w14:textId="4B054B41" w:rsidR="00DB23D8" w:rsidRDefault="00DB23D8" w:rsidP="009529BA">
      <w:pPr>
        <w:ind w:left="630"/>
      </w:pPr>
      <w:r>
        <w:t xml:space="preserve"> </w:t>
      </w:r>
    </w:p>
    <w:p w14:paraId="0888CDDF" w14:textId="5657B73B" w:rsidR="00837A08" w:rsidRDefault="00837A08" w:rsidP="009529BA">
      <w:pPr>
        <w:pStyle w:val="NormalWeb"/>
        <w:kinsoku w:val="0"/>
        <w:overflowPunct w:val="0"/>
        <w:spacing w:before="0" w:beforeAutospacing="0" w:after="0" w:afterAutospacing="0"/>
        <w:ind w:left="720"/>
        <w:textAlignment w:val="baseline"/>
        <w:rPr>
          <w:rFonts w:eastAsiaTheme="minorEastAsia"/>
          <w:i/>
          <w:color w:val="FF0000"/>
        </w:rPr>
      </w:pPr>
    </w:p>
    <w:p w14:paraId="0757B291" w14:textId="77777777" w:rsidR="00837A08" w:rsidRDefault="00837A08" w:rsidP="00837A08">
      <w:pPr>
        <w:pStyle w:val="NormalWeb"/>
        <w:kinsoku w:val="0"/>
        <w:overflowPunct w:val="0"/>
        <w:spacing w:before="0" w:beforeAutospacing="0" w:after="0" w:afterAutospacing="0"/>
        <w:ind w:left="720"/>
        <w:textAlignment w:val="baseline"/>
        <w:rPr>
          <w:rFonts w:eastAsiaTheme="minorEastAsia"/>
          <w:i/>
          <w:color w:val="FF0000"/>
          <w:sz w:val="22"/>
          <w:szCs w:val="22"/>
        </w:rPr>
      </w:pPr>
    </w:p>
    <w:p w14:paraId="57827842" w14:textId="5D75B2C2" w:rsidR="00837A08" w:rsidRPr="00837A08" w:rsidRDefault="004148BF" w:rsidP="00837A08">
      <w:pPr>
        <w:pStyle w:val="NormalWeb"/>
        <w:kinsoku w:val="0"/>
        <w:overflowPunct w:val="0"/>
        <w:spacing w:before="0" w:beforeAutospacing="0" w:after="0" w:afterAutospacing="0"/>
        <w:textAlignment w:val="baseline"/>
        <w:rPr>
          <w:i/>
          <w:sz w:val="22"/>
          <w:szCs w:val="22"/>
        </w:rPr>
      </w:pPr>
      <w:r w:rsidRPr="00837A08">
        <w:rPr>
          <w:b/>
          <w:sz w:val="28"/>
          <w:szCs w:val="28"/>
          <w:u w:val="single"/>
        </w:rPr>
        <w:t xml:space="preserve">FDIC Exam </w:t>
      </w:r>
      <w:r w:rsidR="004F0ED1" w:rsidRPr="00837A08">
        <w:rPr>
          <w:b/>
          <w:sz w:val="28"/>
          <w:szCs w:val="28"/>
          <w:u w:val="single"/>
        </w:rPr>
        <w:t>Fi</w:t>
      </w:r>
      <w:r w:rsidRPr="00837A08">
        <w:rPr>
          <w:b/>
          <w:sz w:val="28"/>
          <w:szCs w:val="28"/>
          <w:u w:val="single"/>
        </w:rPr>
        <w:t>nding</w:t>
      </w:r>
      <w:r w:rsidR="00E2745E" w:rsidRPr="00837A08">
        <w:rPr>
          <w:b/>
          <w:sz w:val="28"/>
          <w:szCs w:val="28"/>
          <w:u w:val="single"/>
        </w:rPr>
        <w:t>s</w:t>
      </w:r>
      <w:r w:rsidRPr="00837A08">
        <w:rPr>
          <w:b/>
          <w:sz w:val="28"/>
          <w:szCs w:val="28"/>
          <w:u w:val="single"/>
        </w:rPr>
        <w:t xml:space="preserve"> – Regulation E</w:t>
      </w:r>
      <w:r w:rsidR="00E2745E" w:rsidRPr="00837A08">
        <w:rPr>
          <w:b/>
          <w:sz w:val="28"/>
          <w:szCs w:val="28"/>
          <w:u w:val="single"/>
        </w:rPr>
        <w:t xml:space="preserve"> Error Resolution</w:t>
      </w:r>
      <w:r w:rsidRPr="00837A08">
        <w:rPr>
          <w:b/>
          <w:sz w:val="28"/>
          <w:szCs w:val="28"/>
          <w:u w:val="single"/>
        </w:rPr>
        <w:t>:</w:t>
      </w:r>
    </w:p>
    <w:p w14:paraId="3A6C1C6A" w14:textId="77777777" w:rsidR="00837A08" w:rsidRDefault="00837A08" w:rsidP="00837A08">
      <w:pPr>
        <w:pStyle w:val="ListParagraph"/>
        <w:ind w:left="630"/>
        <w:rPr>
          <w:b/>
          <w:sz w:val="28"/>
          <w:szCs w:val="28"/>
          <w:u w:val="single"/>
        </w:rPr>
      </w:pPr>
    </w:p>
    <w:p w14:paraId="5EF84F0D" w14:textId="6F9EE742" w:rsidR="00E2745E" w:rsidRPr="00666BFC" w:rsidRDefault="008003C2" w:rsidP="00D8072F">
      <w:pPr>
        <w:pStyle w:val="ListParagraph"/>
        <w:numPr>
          <w:ilvl w:val="0"/>
          <w:numId w:val="28"/>
        </w:numPr>
      </w:pPr>
      <w:r w:rsidRPr="00575537">
        <w:t>Customers who report unauthorized electronic transactions a</w:t>
      </w:r>
      <w:r w:rsidR="00E2745E" w:rsidRPr="00575537">
        <w:t>re asked to resolve the dispute</w:t>
      </w:r>
      <w:r w:rsidRPr="00575537">
        <w:t xml:space="preserve"> transaction directly with the merchant prior to the Bank beginning its investigation.</w:t>
      </w:r>
      <w:r w:rsidR="00F516EB">
        <w:t xml:space="preserve"> </w:t>
      </w:r>
      <w:r w:rsidR="00F516EB" w:rsidRPr="00575537">
        <w:t xml:space="preserve">After the customer speaks with the merchant, the customer is required to come into the bank to sign a form before personnel will begin the investigation and fund provisional credit. </w:t>
      </w:r>
      <w:r w:rsidRPr="00575537">
        <w:t xml:space="preserve"> </w:t>
      </w:r>
      <w:r w:rsidR="00850626" w:rsidRPr="00837A08">
        <w:rPr>
          <w:i/>
        </w:rPr>
        <w:t>1005.11(c)</w:t>
      </w:r>
    </w:p>
    <w:p w14:paraId="6BEA95EE" w14:textId="56F89B5D" w:rsidR="00666BFC" w:rsidRDefault="00666BFC" w:rsidP="00666BFC"/>
    <w:p w14:paraId="49E6338E" w14:textId="77777777" w:rsidR="00666BFC" w:rsidRPr="00666BFC" w:rsidRDefault="00666BFC" w:rsidP="00666BFC">
      <w:pPr>
        <w:pStyle w:val="NormalWeb"/>
        <w:kinsoku w:val="0"/>
        <w:overflowPunct w:val="0"/>
        <w:spacing w:before="0" w:beforeAutospacing="0" w:after="0" w:afterAutospacing="0"/>
        <w:ind w:left="720"/>
        <w:textAlignment w:val="baseline"/>
        <w:rPr>
          <w:sz w:val="22"/>
          <w:szCs w:val="22"/>
        </w:rPr>
      </w:pPr>
      <w:r w:rsidRPr="00666BFC">
        <w:rPr>
          <w:rFonts w:eastAsiaTheme="minorEastAsia"/>
          <w:i/>
          <w:iCs/>
          <w:color w:val="FF0000"/>
          <w:sz w:val="22"/>
          <w:szCs w:val="22"/>
        </w:rPr>
        <w:t>(c) Time limits and extent of investigation. (1) Ten-day period. A financial institution shall investigate promptly and, except as otherwise provided in this paragraph (c), shall determine whether an error occurred within 10 business days of receiving a notice of error. The institution shall report the results to the consumer within three business days after completing its investigation. The institution shall correct the error within one business day after determining that an error occurred.</w:t>
      </w:r>
    </w:p>
    <w:p w14:paraId="76FD7EBC" w14:textId="77777777" w:rsidR="00E2745E" w:rsidRPr="00575537" w:rsidRDefault="00E2745E" w:rsidP="00E2745E">
      <w:pPr>
        <w:pStyle w:val="ListParagraph"/>
        <w:ind w:left="630"/>
      </w:pPr>
    </w:p>
    <w:p w14:paraId="7434A720" w14:textId="46543B5D" w:rsidR="00676DB1" w:rsidRPr="00666BFC" w:rsidRDefault="00676DB1" w:rsidP="00D8072F">
      <w:pPr>
        <w:pStyle w:val="ListParagraph"/>
        <w:numPr>
          <w:ilvl w:val="0"/>
          <w:numId w:val="29"/>
        </w:numPr>
      </w:pPr>
      <w:r w:rsidRPr="00575537">
        <w:lastRenderedPageBreak/>
        <w:t xml:space="preserve">Operations staff </w:t>
      </w:r>
      <w:r w:rsidR="00A6085A">
        <w:t xml:space="preserve">tracks error disputes on a log. Bank </w:t>
      </w:r>
      <w:r w:rsidR="00FA65EC">
        <w:t>does not retain</w:t>
      </w:r>
      <w:r w:rsidR="00FA65EC" w:rsidRPr="00575537">
        <w:t xml:space="preserve"> </w:t>
      </w:r>
      <w:r w:rsidRPr="00575537">
        <w:t>documents related to customers who dispute EFTs over the phone and do not come into the Bank to sign a form.</w:t>
      </w:r>
      <w:r w:rsidR="00B77A78">
        <w:t xml:space="preserve"> </w:t>
      </w:r>
      <w:r w:rsidR="00B77A78" w:rsidRPr="00F516EB">
        <w:rPr>
          <w:i/>
        </w:rPr>
        <w:t>1005.13(b)</w:t>
      </w:r>
    </w:p>
    <w:p w14:paraId="28764956" w14:textId="4DFF843A" w:rsidR="00666BFC" w:rsidRDefault="00666BFC" w:rsidP="00666BFC"/>
    <w:p w14:paraId="51D814DD" w14:textId="77777777" w:rsidR="00666BFC" w:rsidRPr="00666BFC" w:rsidRDefault="00666BFC" w:rsidP="00666BFC">
      <w:pPr>
        <w:pStyle w:val="NormalWeb"/>
        <w:kinsoku w:val="0"/>
        <w:overflowPunct w:val="0"/>
        <w:spacing w:before="0" w:beforeAutospacing="0" w:after="0" w:afterAutospacing="0"/>
        <w:ind w:left="720"/>
        <w:textAlignment w:val="baseline"/>
        <w:rPr>
          <w:sz w:val="22"/>
          <w:szCs w:val="22"/>
        </w:rPr>
      </w:pPr>
      <w:r w:rsidRPr="00666BFC">
        <w:rPr>
          <w:rFonts w:eastAsiaTheme="minorEastAsia"/>
          <w:i/>
          <w:iCs/>
          <w:color w:val="FF0000"/>
          <w:sz w:val="22"/>
          <w:szCs w:val="22"/>
        </w:rPr>
        <w:t xml:space="preserve">(b) Record retention. (1) Any person subject to the Act and this part shall retain evidence of compliance with the requirements imposed by the Act and this part for a period of not less than two years from the date disclosures are required to be made or action is required to be taken. </w:t>
      </w:r>
    </w:p>
    <w:p w14:paraId="22FC6BF7" w14:textId="77777777" w:rsidR="00676DB1" w:rsidRDefault="00676DB1" w:rsidP="00676DB1">
      <w:pPr>
        <w:pStyle w:val="ListParagraph"/>
      </w:pPr>
    </w:p>
    <w:p w14:paraId="21009420" w14:textId="3762C55C" w:rsidR="00E2745E" w:rsidRPr="00666BFC" w:rsidRDefault="00E2745E" w:rsidP="00D8072F">
      <w:pPr>
        <w:pStyle w:val="ListParagraph"/>
        <w:numPr>
          <w:ilvl w:val="0"/>
          <w:numId w:val="29"/>
        </w:numPr>
        <w:ind w:left="634"/>
      </w:pPr>
      <w:r w:rsidRPr="00575537">
        <w:t>Bank did not send a written notice to the customer upon finding no error occurred and provisional credit was reversed.</w:t>
      </w:r>
      <w:r w:rsidR="00A6085A">
        <w:t xml:space="preserve"> </w:t>
      </w:r>
      <w:r w:rsidR="00A6085A" w:rsidRPr="00F516EB">
        <w:rPr>
          <w:i/>
        </w:rPr>
        <w:t>1005.11(d)</w:t>
      </w:r>
    </w:p>
    <w:p w14:paraId="633A389B" w14:textId="6A83F570" w:rsidR="00666BFC" w:rsidRDefault="00666BFC" w:rsidP="00666BFC"/>
    <w:p w14:paraId="7AE8117B" w14:textId="1BEDDD2C" w:rsidR="00666BFC" w:rsidRDefault="00666BFC" w:rsidP="00666BFC">
      <w:pPr>
        <w:pStyle w:val="NormalWeb"/>
        <w:kinsoku w:val="0"/>
        <w:overflowPunct w:val="0"/>
        <w:spacing w:before="0" w:beforeAutospacing="0" w:after="0" w:afterAutospacing="0"/>
        <w:ind w:left="720"/>
        <w:textAlignment w:val="bottom"/>
        <w:rPr>
          <w:rFonts w:eastAsiaTheme="minorEastAsia"/>
          <w:i/>
          <w:iCs/>
          <w:color w:val="FF0000"/>
          <w:sz w:val="22"/>
          <w:szCs w:val="22"/>
        </w:rPr>
      </w:pPr>
      <w:r w:rsidRPr="00666BFC">
        <w:rPr>
          <w:rFonts w:eastAsiaTheme="minorEastAsia"/>
          <w:i/>
          <w:iCs/>
          <w:color w:val="FF0000"/>
          <w:sz w:val="22"/>
          <w:szCs w:val="22"/>
        </w:rPr>
        <w:t xml:space="preserve">(d) </w:t>
      </w:r>
      <w:r w:rsidRPr="00666BFC">
        <w:rPr>
          <w:rFonts w:eastAsiaTheme="minorEastAsia"/>
          <w:b/>
          <w:bCs/>
          <w:i/>
          <w:iCs/>
          <w:color w:val="FF0000"/>
          <w:sz w:val="22"/>
          <w:szCs w:val="22"/>
        </w:rPr>
        <w:t xml:space="preserve">Procedures if financial institution determines no error or different error occurred. </w:t>
      </w:r>
      <w:r w:rsidRPr="00666BFC">
        <w:rPr>
          <w:rFonts w:eastAsiaTheme="minorEastAsia"/>
          <w:i/>
          <w:iCs/>
          <w:color w:val="FF0000"/>
          <w:sz w:val="22"/>
          <w:szCs w:val="22"/>
        </w:rPr>
        <w:t xml:space="preserve">In addition to following the procedures specified in paragraph (c) of this section, the financial institution shall follow the procedures set forth in this paragraph (d) if it determines that no error occurred or that an error occurred in a manner or amount different from that described by the consumer:  (1) Written explanation. (2) Debiting provisional credit. </w:t>
      </w:r>
    </w:p>
    <w:p w14:paraId="6AE2DD84" w14:textId="5796E435" w:rsidR="003F63BE" w:rsidRDefault="003F63BE" w:rsidP="003F63BE">
      <w:pPr>
        <w:pStyle w:val="NormalWeb"/>
        <w:kinsoku w:val="0"/>
        <w:overflowPunct w:val="0"/>
        <w:spacing w:before="0" w:beforeAutospacing="0" w:after="0" w:afterAutospacing="0"/>
        <w:textAlignment w:val="bottom"/>
        <w:rPr>
          <w:rFonts w:eastAsiaTheme="minorEastAsia"/>
          <w:i/>
          <w:iCs/>
          <w:color w:val="FF0000"/>
          <w:sz w:val="22"/>
          <w:szCs w:val="22"/>
        </w:rPr>
      </w:pPr>
    </w:p>
    <w:p w14:paraId="17FD8140" w14:textId="0E92A489" w:rsidR="003F63BE" w:rsidRPr="00666BFC" w:rsidRDefault="0052024A" w:rsidP="003F63BE">
      <w:pPr>
        <w:pStyle w:val="NormalWeb"/>
        <w:kinsoku w:val="0"/>
        <w:overflowPunct w:val="0"/>
        <w:spacing w:before="0" w:beforeAutospacing="0" w:after="0" w:afterAutospacing="0"/>
        <w:textAlignment w:val="bottom"/>
        <w:rPr>
          <w:sz w:val="22"/>
          <w:szCs w:val="22"/>
        </w:rPr>
      </w:pPr>
      <w:r w:rsidRPr="003F63BE">
        <w:rPr>
          <w:rFonts w:eastAsiaTheme="minorEastAsia"/>
          <w:i/>
          <w:iCs/>
          <w:noProof/>
          <w:color w:val="FF0000"/>
          <w:sz w:val="22"/>
          <w:szCs w:val="22"/>
        </w:rPr>
        <mc:AlternateContent>
          <mc:Choice Requires="wps">
            <w:drawing>
              <wp:anchor distT="45720" distB="45720" distL="114300" distR="114300" simplePos="0" relativeHeight="251661312" behindDoc="0" locked="0" layoutInCell="1" allowOverlap="1" wp14:anchorId="01EDFCDB" wp14:editId="42384ED2">
                <wp:simplePos x="0" y="0"/>
                <wp:positionH relativeFrom="column">
                  <wp:posOffset>449580</wp:posOffset>
                </wp:positionH>
                <wp:positionV relativeFrom="paragraph">
                  <wp:posOffset>4445</wp:posOffset>
                </wp:positionV>
                <wp:extent cx="5494020" cy="1404620"/>
                <wp:effectExtent l="0" t="0" r="11430" b="165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4020" cy="14046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DF7F427" w14:textId="3D455061" w:rsidR="003F63BE" w:rsidRPr="003F63BE" w:rsidRDefault="003F63BE" w:rsidP="003F63BE">
                            <w:pPr>
                              <w:rPr>
                                <w:b/>
                                <w:sz w:val="28"/>
                              </w:rPr>
                            </w:pPr>
                            <w:r w:rsidRPr="003F63BE">
                              <w:rPr>
                                <w:b/>
                                <w:sz w:val="28"/>
                              </w:rPr>
                              <w:t>Spot the violation #2</w:t>
                            </w:r>
                            <w:r>
                              <w:rPr>
                                <w:b/>
                                <w:sz w:val="28"/>
                              </w:rPr>
                              <w:t>:  EFT Error</w:t>
                            </w:r>
                          </w:p>
                          <w:p w14:paraId="2C5E849D" w14:textId="77777777" w:rsidR="003F63BE" w:rsidRDefault="003F63BE" w:rsidP="003F63BE">
                            <w:pPr>
                              <w:rPr>
                                <w:b/>
                              </w:rPr>
                            </w:pPr>
                          </w:p>
                          <w:p w14:paraId="41124C08" w14:textId="7D630422" w:rsidR="003F63BE" w:rsidRPr="003F63BE" w:rsidRDefault="003E5822" w:rsidP="003F63BE">
                            <w:pPr>
                              <w:pStyle w:val="ListParagraph"/>
                              <w:numPr>
                                <w:ilvl w:val="0"/>
                                <w:numId w:val="23"/>
                              </w:numPr>
                              <w:rPr>
                                <w:color w:val="FF0000"/>
                              </w:rPr>
                            </w:pPr>
                            <w:r w:rsidRPr="003E5822">
                              <w:rPr>
                                <w:b/>
                                <w:color w:val="FF0000"/>
                              </w:rPr>
                              <w:t>Answer:</w:t>
                            </w:r>
                            <w:r>
                              <w:rPr>
                                <w:color w:val="FF0000"/>
                              </w:rPr>
                              <w:t xml:space="preserve">  </w:t>
                            </w:r>
                            <w:r w:rsidR="0052024A">
                              <w:rPr>
                                <w:color w:val="FF0000"/>
                              </w:rPr>
                              <w:t>Failure to document</w:t>
                            </w:r>
                            <w:r w:rsidR="003F63BE" w:rsidRPr="003F63BE">
                              <w:rPr>
                                <w:color w:val="FF0000"/>
                              </w:rPr>
                              <w:t xml:space="preserve"> the date of final resolution</w:t>
                            </w:r>
                            <w:r w:rsidR="0052024A">
                              <w:rPr>
                                <w:color w:val="FF0000"/>
                              </w:rPr>
                              <w:t xml:space="preserve"> and</w:t>
                            </w:r>
                            <w:r w:rsidR="003F63BE" w:rsidRPr="003F63BE">
                              <w:rPr>
                                <w:color w:val="FF0000"/>
                              </w:rPr>
                              <w:t xml:space="preserve"> the date on which customer was notified of final resolution.</w:t>
                            </w:r>
                          </w:p>
                          <w:p w14:paraId="0191ACDD" w14:textId="780A46A6" w:rsidR="003F63BE" w:rsidRDefault="003F63BE"/>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EDFCDB" id="_x0000_s1027" type="#_x0000_t202" style="position:absolute;margin-left:35.4pt;margin-top:.35pt;width:432.6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" fillcolor="white [3201]" strokecolor="#4f81bd [3204]" strokeweight="2pt">
                <v:textbox style="mso-fit-shape-to-text:t">
                  <w:txbxContent>
                    <w:p w14:paraId="7DF7F427" w14:textId="3D455061" w:rsidR="003F63BE" w:rsidRPr="003F63BE" w:rsidRDefault="003F63BE" w:rsidP="003F63BE">
                      <w:pPr>
                        <w:rPr>
                          <w:b/>
                          <w:sz w:val="28"/>
                        </w:rPr>
                      </w:pPr>
                      <w:r w:rsidRPr="003F63BE">
                        <w:rPr>
                          <w:b/>
                          <w:sz w:val="28"/>
                        </w:rPr>
                        <w:t>Spot the violation #2</w:t>
                      </w:r>
                      <w:r>
                        <w:rPr>
                          <w:b/>
                          <w:sz w:val="28"/>
                        </w:rPr>
                        <w:t>:  EFT Error</w:t>
                      </w:r>
                    </w:p>
                    <w:p w14:paraId="2C5E849D" w14:textId="77777777" w:rsidR="003F63BE" w:rsidRDefault="003F63BE" w:rsidP="003F63BE">
                      <w:pPr>
                        <w:rPr>
                          <w:b/>
                        </w:rPr>
                      </w:pPr>
                    </w:p>
                    <w:p w14:paraId="41124C08" w14:textId="7D630422" w:rsidR="003F63BE" w:rsidRPr="003F63BE" w:rsidRDefault="003E5822" w:rsidP="003F63BE">
                      <w:pPr>
                        <w:pStyle w:val="ListParagraph"/>
                        <w:numPr>
                          <w:ilvl w:val="0"/>
                          <w:numId w:val="23"/>
                        </w:numPr>
                        <w:rPr>
                          <w:color w:val="FF0000"/>
                        </w:rPr>
                      </w:pPr>
                      <w:r w:rsidRPr="003E5822">
                        <w:rPr>
                          <w:b/>
                          <w:color w:val="FF0000"/>
                        </w:rPr>
                        <w:t>Answer:</w:t>
                      </w:r>
                      <w:r>
                        <w:rPr>
                          <w:color w:val="FF0000"/>
                        </w:rPr>
                        <w:t xml:space="preserve">  </w:t>
                      </w:r>
                      <w:r w:rsidR="0052024A">
                        <w:rPr>
                          <w:color w:val="FF0000"/>
                        </w:rPr>
                        <w:t>Failure to document</w:t>
                      </w:r>
                      <w:r w:rsidR="003F63BE" w:rsidRPr="003F63BE">
                        <w:rPr>
                          <w:color w:val="FF0000"/>
                        </w:rPr>
                        <w:t xml:space="preserve"> the date of final resolution</w:t>
                      </w:r>
                      <w:r w:rsidR="0052024A">
                        <w:rPr>
                          <w:color w:val="FF0000"/>
                        </w:rPr>
                        <w:t xml:space="preserve"> and</w:t>
                      </w:r>
                      <w:r w:rsidR="003F63BE" w:rsidRPr="003F63BE">
                        <w:rPr>
                          <w:color w:val="FF0000"/>
                        </w:rPr>
                        <w:t xml:space="preserve"> the date on which customer was notified of final resolution.</w:t>
                      </w:r>
                    </w:p>
                    <w:p w14:paraId="0191ACDD" w14:textId="780A46A6" w:rsidR="003F63BE" w:rsidRDefault="003F63BE"/>
                  </w:txbxContent>
                </v:textbox>
                <w10:wrap type="square"/>
              </v:shape>
            </w:pict>
          </mc:Fallback>
        </mc:AlternateContent>
      </w:r>
    </w:p>
    <w:p w14:paraId="1C226633" w14:textId="7581C5EA" w:rsidR="0052024A" w:rsidRDefault="0052024A" w:rsidP="00D72F0E">
      <w:pPr>
        <w:rPr>
          <w:b/>
          <w:sz w:val="28"/>
          <w:szCs w:val="28"/>
          <w:u w:val="single"/>
        </w:rPr>
      </w:pPr>
    </w:p>
    <w:p w14:paraId="4C153D6B" w14:textId="77777777" w:rsidR="0052024A" w:rsidRDefault="0052024A" w:rsidP="00D72F0E">
      <w:pPr>
        <w:rPr>
          <w:b/>
          <w:sz w:val="28"/>
          <w:szCs w:val="28"/>
          <w:u w:val="single"/>
        </w:rPr>
      </w:pPr>
    </w:p>
    <w:p w14:paraId="2EDB4C9B" w14:textId="77777777" w:rsidR="0052024A" w:rsidRDefault="0052024A" w:rsidP="00D72F0E">
      <w:pPr>
        <w:rPr>
          <w:b/>
          <w:sz w:val="28"/>
          <w:szCs w:val="28"/>
          <w:u w:val="single"/>
        </w:rPr>
      </w:pPr>
    </w:p>
    <w:p w14:paraId="37A73613" w14:textId="7AA7B795" w:rsidR="0052024A" w:rsidRDefault="0052024A" w:rsidP="00D72F0E">
      <w:pPr>
        <w:rPr>
          <w:b/>
          <w:sz w:val="28"/>
          <w:szCs w:val="28"/>
          <w:u w:val="single"/>
        </w:rPr>
      </w:pPr>
    </w:p>
    <w:p w14:paraId="0F3AD2A2" w14:textId="77777777" w:rsidR="0052024A" w:rsidRDefault="0052024A" w:rsidP="00D72F0E">
      <w:pPr>
        <w:rPr>
          <w:b/>
          <w:sz w:val="28"/>
          <w:szCs w:val="28"/>
          <w:u w:val="single"/>
        </w:rPr>
      </w:pPr>
    </w:p>
    <w:p w14:paraId="3D36925E" w14:textId="7500B831" w:rsidR="00D72F0E" w:rsidRPr="00575537" w:rsidRDefault="00D72F0E" w:rsidP="00D72F0E">
      <w:pPr>
        <w:rPr>
          <w:b/>
          <w:sz w:val="28"/>
          <w:szCs w:val="28"/>
          <w:u w:val="single"/>
        </w:rPr>
      </w:pPr>
      <w:r w:rsidRPr="00575537">
        <w:rPr>
          <w:b/>
          <w:sz w:val="28"/>
          <w:szCs w:val="28"/>
          <w:u w:val="single"/>
        </w:rPr>
        <w:t>Expedited Funds Availability</w:t>
      </w:r>
      <w:r w:rsidR="00130D19">
        <w:rPr>
          <w:b/>
          <w:sz w:val="28"/>
          <w:szCs w:val="28"/>
          <w:u w:val="single"/>
        </w:rPr>
        <w:t xml:space="preserve"> </w:t>
      </w:r>
      <w:r w:rsidR="008B3E51" w:rsidRPr="00575537">
        <w:rPr>
          <w:b/>
          <w:sz w:val="28"/>
          <w:szCs w:val="28"/>
          <w:u w:val="single"/>
        </w:rPr>
        <w:t xml:space="preserve">(Regulation CC) 12 CFR 229  </w:t>
      </w:r>
    </w:p>
    <w:p w14:paraId="7199E741" w14:textId="77777777" w:rsidR="00D72F0E" w:rsidRPr="00575537" w:rsidRDefault="00D72F0E" w:rsidP="00D72F0E">
      <w:pPr>
        <w:rPr>
          <w:b/>
        </w:rPr>
      </w:pPr>
    </w:p>
    <w:p w14:paraId="384990EA" w14:textId="6F9BD886" w:rsidR="008E3A89" w:rsidRPr="00666BFC" w:rsidRDefault="008E3A89" w:rsidP="00C24038">
      <w:pPr>
        <w:pStyle w:val="ListParagraph"/>
        <w:numPr>
          <w:ilvl w:val="0"/>
          <w:numId w:val="3"/>
        </w:numPr>
        <w:ind w:left="634"/>
      </w:pPr>
      <w:r w:rsidRPr="00575537">
        <w:t>Personnel placed a case-by-case hold on a check. Personnel did not make the first $2</w:t>
      </w:r>
      <w:r w:rsidR="00742760" w:rsidRPr="00575537">
        <w:t>25</w:t>
      </w:r>
      <w:r w:rsidRPr="00575537">
        <w:t xml:space="preserve"> of the check available on the day following the date of deposit. </w:t>
      </w:r>
      <w:r w:rsidRPr="00575537">
        <w:rPr>
          <w:i/>
        </w:rPr>
        <w:t>229.10(c)</w:t>
      </w:r>
    </w:p>
    <w:p w14:paraId="48CE774D" w14:textId="4F418801" w:rsidR="00666BFC" w:rsidRDefault="00666BFC" w:rsidP="00666BFC"/>
    <w:p w14:paraId="75CABA7C" w14:textId="77777777" w:rsidR="00666BFC" w:rsidRPr="00666BFC" w:rsidRDefault="00666BFC" w:rsidP="00666BFC">
      <w:pPr>
        <w:pStyle w:val="NormalWeb"/>
        <w:kinsoku w:val="0"/>
        <w:overflowPunct w:val="0"/>
        <w:spacing w:before="0" w:beforeAutospacing="0" w:after="0" w:afterAutospacing="0"/>
        <w:ind w:left="720"/>
        <w:textAlignment w:val="baseline"/>
        <w:rPr>
          <w:sz w:val="22"/>
          <w:szCs w:val="22"/>
        </w:rPr>
      </w:pPr>
      <w:r w:rsidRPr="00666BFC">
        <w:rPr>
          <w:rFonts w:eastAsiaTheme="minorEastAsia"/>
          <w:b/>
          <w:bCs/>
          <w:i/>
          <w:iCs/>
          <w:color w:val="FF0000"/>
          <w:sz w:val="22"/>
          <w:szCs w:val="22"/>
        </w:rPr>
        <w:t>General rule.</w:t>
      </w:r>
      <w:r w:rsidRPr="00666BFC">
        <w:rPr>
          <w:rFonts w:eastAsiaTheme="minorEastAsia"/>
          <w:i/>
          <w:iCs/>
          <w:color w:val="FF0000"/>
          <w:sz w:val="22"/>
          <w:szCs w:val="22"/>
        </w:rPr>
        <w:t xml:space="preserve"> A depositary bank shall make funds deposited in an account by check available for withdrawal not later than the business day after the banking day on which the funds are deposited.</w:t>
      </w:r>
    </w:p>
    <w:p w14:paraId="794934D9" w14:textId="77777777" w:rsidR="00297FAD" w:rsidRPr="00575537" w:rsidRDefault="00297FAD" w:rsidP="00297FAD">
      <w:pPr>
        <w:pStyle w:val="ListParagraph"/>
      </w:pPr>
    </w:p>
    <w:p w14:paraId="087D72DB" w14:textId="2EF0C882" w:rsidR="00297FAD" w:rsidRDefault="00297FAD" w:rsidP="00C24038">
      <w:pPr>
        <w:pStyle w:val="ListParagraph"/>
        <w:numPr>
          <w:ilvl w:val="0"/>
          <w:numId w:val="3"/>
        </w:numPr>
        <w:ind w:left="634"/>
      </w:pPr>
      <w:r w:rsidRPr="00575537">
        <w:t xml:space="preserve">Hold notice </w:t>
      </w:r>
      <w:r w:rsidR="00A6085A">
        <w:t xml:space="preserve">did not reflect the business day of </w:t>
      </w:r>
      <w:r w:rsidRPr="00575537">
        <w:t>deposit</w:t>
      </w:r>
      <w:r w:rsidR="00A6085A">
        <w:t>. Customer made a deposit on a Saturday, which would have a business day of deposit on the following Monday.</w:t>
      </w:r>
      <w:r w:rsidR="00AB50AF">
        <w:t xml:space="preserve"> </w:t>
      </w:r>
      <w:r w:rsidR="00A6085A" w:rsidRPr="00AB50AF">
        <w:rPr>
          <w:i/>
        </w:rPr>
        <w:t>229.2(</w:t>
      </w:r>
      <w:r w:rsidR="00AB50AF" w:rsidRPr="00AB50AF">
        <w:rPr>
          <w:i/>
        </w:rPr>
        <w:t>f) and(g)</w:t>
      </w:r>
      <w:r w:rsidR="00AB50AF">
        <w:t xml:space="preserve"> </w:t>
      </w:r>
    </w:p>
    <w:p w14:paraId="6648F13A" w14:textId="520F5D4C" w:rsidR="00666BFC" w:rsidRDefault="00666BFC" w:rsidP="00666BFC"/>
    <w:p w14:paraId="7FF7AF33" w14:textId="77777777" w:rsidR="00666BFC" w:rsidRPr="00666BFC" w:rsidRDefault="00666BFC" w:rsidP="00666BFC">
      <w:pPr>
        <w:pStyle w:val="NormalWeb"/>
        <w:kinsoku w:val="0"/>
        <w:overflowPunct w:val="0"/>
        <w:spacing w:before="0" w:beforeAutospacing="0" w:after="0" w:afterAutospacing="0"/>
        <w:ind w:left="720"/>
        <w:textAlignment w:val="bottom"/>
        <w:rPr>
          <w:sz w:val="22"/>
          <w:szCs w:val="22"/>
        </w:rPr>
      </w:pPr>
      <w:r w:rsidRPr="00666BFC">
        <w:rPr>
          <w:rFonts w:eastAsiaTheme="minorEastAsia"/>
          <w:b/>
          <w:bCs/>
          <w:i/>
          <w:iCs/>
          <w:color w:val="FF0000"/>
          <w:sz w:val="22"/>
          <w:szCs w:val="22"/>
        </w:rPr>
        <w:t>(f) Banking day</w:t>
      </w:r>
      <w:r w:rsidRPr="00666BFC">
        <w:rPr>
          <w:rFonts w:eastAsiaTheme="minorEastAsia"/>
          <w:i/>
          <w:iCs/>
          <w:color w:val="FF0000"/>
          <w:sz w:val="22"/>
          <w:szCs w:val="22"/>
        </w:rPr>
        <w:t xml:space="preserve"> means that part of any business day on which an office of a bank is open to the public for carrying on substantially all of its banking functions.</w:t>
      </w:r>
    </w:p>
    <w:p w14:paraId="4C01D1B3" w14:textId="77777777" w:rsidR="0052024A" w:rsidRDefault="0052024A" w:rsidP="00666BFC">
      <w:pPr>
        <w:pStyle w:val="NormalWeb"/>
        <w:kinsoku w:val="0"/>
        <w:overflowPunct w:val="0"/>
        <w:spacing w:before="0" w:beforeAutospacing="0" w:after="0" w:afterAutospacing="0"/>
        <w:ind w:left="720"/>
        <w:textAlignment w:val="bottom"/>
        <w:rPr>
          <w:rFonts w:eastAsiaTheme="minorEastAsia"/>
          <w:b/>
          <w:bCs/>
          <w:i/>
          <w:iCs/>
          <w:color w:val="FF0000"/>
          <w:sz w:val="22"/>
          <w:szCs w:val="22"/>
        </w:rPr>
      </w:pPr>
    </w:p>
    <w:p w14:paraId="5C09419E" w14:textId="68742D7C" w:rsidR="00666BFC" w:rsidRPr="00666BFC" w:rsidRDefault="00666BFC" w:rsidP="00666BFC">
      <w:pPr>
        <w:pStyle w:val="NormalWeb"/>
        <w:kinsoku w:val="0"/>
        <w:overflowPunct w:val="0"/>
        <w:spacing w:before="0" w:beforeAutospacing="0" w:after="0" w:afterAutospacing="0"/>
        <w:ind w:left="720"/>
        <w:textAlignment w:val="bottom"/>
        <w:rPr>
          <w:sz w:val="22"/>
          <w:szCs w:val="22"/>
        </w:rPr>
      </w:pPr>
      <w:r w:rsidRPr="00666BFC">
        <w:rPr>
          <w:rFonts w:eastAsiaTheme="minorEastAsia"/>
          <w:b/>
          <w:bCs/>
          <w:i/>
          <w:iCs/>
          <w:color w:val="FF0000"/>
          <w:sz w:val="22"/>
          <w:szCs w:val="22"/>
        </w:rPr>
        <w:t>(g) Business day</w:t>
      </w:r>
      <w:r w:rsidRPr="00666BFC">
        <w:rPr>
          <w:rFonts w:eastAsiaTheme="minorEastAsia"/>
          <w:i/>
          <w:iCs/>
          <w:color w:val="FF0000"/>
          <w:sz w:val="22"/>
          <w:szCs w:val="22"/>
        </w:rPr>
        <w:t xml:space="preserve"> means a calendar day other than a Saturday or a Sunday, January 1, the third Monday in January, the third Monday in February, the last Monday in May,</w:t>
      </w:r>
      <w:r w:rsidR="00193F6E">
        <w:rPr>
          <w:rFonts w:eastAsiaTheme="minorEastAsia"/>
          <w:i/>
          <w:iCs/>
          <w:color w:val="FF0000"/>
          <w:sz w:val="22"/>
          <w:szCs w:val="22"/>
        </w:rPr>
        <w:t xml:space="preserve"> June 19,</w:t>
      </w:r>
      <w:r w:rsidRPr="00666BFC">
        <w:rPr>
          <w:rFonts w:eastAsiaTheme="minorEastAsia"/>
          <w:i/>
          <w:iCs/>
          <w:color w:val="FF0000"/>
          <w:sz w:val="22"/>
          <w:szCs w:val="22"/>
        </w:rPr>
        <w:t xml:space="preserve"> July 4, the first Monday in September, the second Monday in October, November 11, the fourth Thursday in November, or December 25. If January 1, July 4, November 11, or December 25 fall on a Sunday, the next Monday is not a business day.</w:t>
      </w:r>
    </w:p>
    <w:p w14:paraId="327B0FAA" w14:textId="124EA94B" w:rsidR="00666BFC" w:rsidRDefault="00666BFC" w:rsidP="00666BFC">
      <w:pPr>
        <w:ind w:left="720"/>
      </w:pPr>
    </w:p>
    <w:p w14:paraId="0F3939AF" w14:textId="77777777" w:rsidR="00A66639" w:rsidRPr="00A66639" w:rsidRDefault="00A66639" w:rsidP="00A66639">
      <w:pPr>
        <w:pStyle w:val="NormalWeb"/>
        <w:spacing w:beforeAutospacing="0" w:after="0" w:afterAutospacing="0" w:line="216" w:lineRule="auto"/>
        <w:ind w:left="634"/>
        <w:textAlignment w:val="bottom"/>
        <w:rPr>
          <w:sz w:val="22"/>
          <w:szCs w:val="22"/>
        </w:rPr>
      </w:pPr>
      <w:r w:rsidRPr="00A66639">
        <w:rPr>
          <w:rFonts w:eastAsiaTheme="minorEastAsia"/>
          <w:b/>
          <w:bCs/>
          <w:i/>
          <w:iCs/>
          <w:color w:val="FF0000"/>
          <w:sz w:val="22"/>
          <w:szCs w:val="22"/>
        </w:rPr>
        <w:t>229.13(g)</w:t>
      </w:r>
      <w:r w:rsidRPr="00A66639">
        <w:rPr>
          <w:rFonts w:eastAsiaTheme="minorEastAsia"/>
          <w:i/>
          <w:iCs/>
          <w:color w:val="FF0000"/>
          <w:kern w:val="24"/>
          <w:sz w:val="22"/>
          <w:szCs w:val="22"/>
        </w:rPr>
        <w:t xml:space="preserve"> </w:t>
      </w:r>
      <w:r w:rsidRPr="00A66639">
        <w:rPr>
          <w:rFonts w:eastAsiaTheme="minorEastAsia"/>
          <w:b/>
          <w:bCs/>
          <w:i/>
          <w:iCs/>
          <w:color w:val="FF0000"/>
          <w:kern w:val="24"/>
          <w:sz w:val="22"/>
          <w:szCs w:val="22"/>
        </w:rPr>
        <w:t xml:space="preserve">Notice of exception - </w:t>
      </w:r>
      <w:r w:rsidRPr="00A66639">
        <w:rPr>
          <w:rFonts w:eastAsiaTheme="minorEastAsia"/>
          <w:i/>
          <w:iCs/>
          <w:color w:val="FF0000"/>
          <w:kern w:val="24"/>
          <w:sz w:val="22"/>
          <w:szCs w:val="22"/>
        </w:rPr>
        <w:t xml:space="preserve">(1) In general. Subject to paragraphs (g)(2) and (g)(3) of this section, when a depositary bank extends the time when funds will be available for withdrawal based on the application of an exception contained in paragraphs (b) through (f) of this section, it must provide the depositor with a written notice. </w:t>
      </w:r>
      <w:r w:rsidRPr="00A66639">
        <w:rPr>
          <w:rFonts w:eastAsiaTheme="minorEastAsia"/>
          <w:i/>
          <w:iCs/>
          <w:color w:val="FF0000"/>
          <w:kern w:val="24"/>
          <w:sz w:val="22"/>
          <w:szCs w:val="22"/>
        </w:rPr>
        <w:br/>
        <w:t>(i) The notice shall include the following information—</w:t>
      </w:r>
      <w:r w:rsidRPr="00A66639">
        <w:rPr>
          <w:rFonts w:eastAsiaTheme="minorEastAsia"/>
          <w:i/>
          <w:iCs/>
          <w:color w:val="FF0000"/>
          <w:kern w:val="24"/>
          <w:sz w:val="22"/>
          <w:szCs w:val="22"/>
        </w:rPr>
        <w:br/>
      </w:r>
      <w:r w:rsidRPr="00A66639">
        <w:rPr>
          <w:rFonts w:eastAsiaTheme="minorEastAsia"/>
          <w:i/>
          <w:iCs/>
          <w:color w:val="FF0000"/>
          <w:kern w:val="24"/>
          <w:sz w:val="22"/>
          <w:szCs w:val="22"/>
        </w:rPr>
        <w:lastRenderedPageBreak/>
        <w:t>(A) A number or code, which need not exceed four digits, that identifies the customer’s account.</w:t>
      </w:r>
      <w:r w:rsidRPr="00A66639">
        <w:rPr>
          <w:rFonts w:eastAsiaTheme="minorEastAsia"/>
          <w:i/>
          <w:iCs/>
          <w:color w:val="FF0000"/>
          <w:kern w:val="24"/>
          <w:sz w:val="22"/>
          <w:szCs w:val="22"/>
        </w:rPr>
        <w:br/>
      </w:r>
      <w:r w:rsidRPr="00A66639">
        <w:rPr>
          <w:rFonts w:eastAsiaTheme="minorEastAsia"/>
          <w:i/>
          <w:iCs/>
          <w:color w:val="FF0000"/>
          <w:kern w:val="24"/>
          <w:sz w:val="22"/>
          <w:szCs w:val="22"/>
          <w:u w:val="single"/>
        </w:rPr>
        <w:t>(B) The date of the deposit</w:t>
      </w:r>
      <w:proofErr w:type="gramStart"/>
      <w:r w:rsidRPr="00A66639">
        <w:rPr>
          <w:rFonts w:eastAsiaTheme="minorEastAsia"/>
          <w:i/>
          <w:iCs/>
          <w:color w:val="FF0000"/>
          <w:kern w:val="24"/>
          <w:sz w:val="22"/>
          <w:szCs w:val="22"/>
          <w:u w:val="single"/>
        </w:rPr>
        <w:t>;</w:t>
      </w:r>
      <w:proofErr w:type="gramEnd"/>
      <w:r w:rsidRPr="00A66639">
        <w:rPr>
          <w:rFonts w:eastAsiaTheme="minorEastAsia"/>
          <w:i/>
          <w:iCs/>
          <w:color w:val="FF0000"/>
          <w:kern w:val="24"/>
          <w:sz w:val="22"/>
          <w:szCs w:val="22"/>
          <w:u w:val="single"/>
        </w:rPr>
        <w:br/>
      </w:r>
      <w:r w:rsidRPr="00A66639">
        <w:rPr>
          <w:rFonts w:eastAsiaTheme="minorEastAsia"/>
          <w:i/>
          <w:iCs/>
          <w:color w:val="FF0000"/>
          <w:kern w:val="24"/>
          <w:sz w:val="22"/>
          <w:szCs w:val="22"/>
        </w:rPr>
        <w:t>(C) The amount of the deposit that is being delayed;</w:t>
      </w:r>
      <w:r w:rsidRPr="00A66639">
        <w:rPr>
          <w:rFonts w:eastAsiaTheme="minorEastAsia"/>
          <w:i/>
          <w:iCs/>
          <w:color w:val="FF0000"/>
          <w:kern w:val="24"/>
          <w:sz w:val="22"/>
          <w:szCs w:val="22"/>
        </w:rPr>
        <w:br/>
        <w:t>(D) The reason the exception was invoked; and</w:t>
      </w:r>
      <w:r w:rsidRPr="00A66639">
        <w:rPr>
          <w:rFonts w:eastAsiaTheme="minorEastAsia"/>
          <w:i/>
          <w:iCs/>
          <w:color w:val="FF0000"/>
          <w:kern w:val="24"/>
          <w:sz w:val="22"/>
          <w:szCs w:val="22"/>
        </w:rPr>
        <w:br/>
        <w:t>(E) The time period within which the funds will be available for withdrawal.</w:t>
      </w:r>
    </w:p>
    <w:p w14:paraId="4FABDF26" w14:textId="12B88BDB" w:rsidR="007D5E44" w:rsidRDefault="007D5E44" w:rsidP="0052024A">
      <w:pPr>
        <w:rPr>
          <w:color w:val="FF0000"/>
        </w:rPr>
      </w:pPr>
    </w:p>
    <w:p w14:paraId="4CDA10EC" w14:textId="24592D65" w:rsidR="0052024A" w:rsidRDefault="0052024A" w:rsidP="0052024A">
      <w:pPr>
        <w:rPr>
          <w:color w:val="FF0000"/>
        </w:rPr>
      </w:pPr>
    </w:p>
    <w:p w14:paraId="7E556738" w14:textId="0C2F39CF" w:rsidR="0052024A" w:rsidRDefault="0052024A" w:rsidP="0052024A">
      <w:pPr>
        <w:rPr>
          <w:color w:val="FF0000"/>
        </w:rPr>
      </w:pPr>
      <w:r w:rsidRPr="0052024A">
        <w:rPr>
          <w:noProof/>
          <w:color w:val="FF0000"/>
        </w:rPr>
        <mc:AlternateContent>
          <mc:Choice Requires="wps">
            <w:drawing>
              <wp:anchor distT="45720" distB="45720" distL="114300" distR="114300" simplePos="0" relativeHeight="251663360" behindDoc="0" locked="0" layoutInCell="1" allowOverlap="1" wp14:anchorId="45D98C47" wp14:editId="2708EE87">
                <wp:simplePos x="0" y="0"/>
                <wp:positionH relativeFrom="column">
                  <wp:posOffset>350520</wp:posOffset>
                </wp:positionH>
                <wp:positionV relativeFrom="paragraph">
                  <wp:posOffset>22860</wp:posOffset>
                </wp:positionV>
                <wp:extent cx="5463540" cy="9601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96012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8492699" w14:textId="328CD9B7" w:rsidR="0052024A" w:rsidRPr="0052024A" w:rsidRDefault="0052024A" w:rsidP="0052024A">
                            <w:pPr>
                              <w:rPr>
                                <w:b/>
                                <w:sz w:val="28"/>
                              </w:rPr>
                            </w:pPr>
                            <w:r w:rsidRPr="0052024A">
                              <w:rPr>
                                <w:b/>
                                <w:sz w:val="28"/>
                              </w:rPr>
                              <w:t>Spot the violation #3:  Case</w:t>
                            </w:r>
                            <w:r>
                              <w:rPr>
                                <w:b/>
                                <w:sz w:val="28"/>
                              </w:rPr>
                              <w:t>-</w:t>
                            </w:r>
                            <w:r w:rsidRPr="0052024A">
                              <w:rPr>
                                <w:b/>
                                <w:sz w:val="28"/>
                              </w:rPr>
                              <w:t>by</w:t>
                            </w:r>
                            <w:r>
                              <w:rPr>
                                <w:b/>
                                <w:sz w:val="28"/>
                              </w:rPr>
                              <w:t>-</w:t>
                            </w:r>
                            <w:r w:rsidRPr="0052024A">
                              <w:rPr>
                                <w:b/>
                                <w:sz w:val="28"/>
                              </w:rPr>
                              <w:t>Case Hold</w:t>
                            </w:r>
                          </w:p>
                          <w:p w14:paraId="595A9AD1" w14:textId="77777777" w:rsidR="0052024A" w:rsidRDefault="0052024A" w:rsidP="0052024A">
                            <w:pPr>
                              <w:rPr>
                                <w:b/>
                              </w:rPr>
                            </w:pPr>
                          </w:p>
                          <w:p w14:paraId="03F21899" w14:textId="165FD7F4" w:rsidR="0052024A" w:rsidRPr="0052024A" w:rsidRDefault="003E5822" w:rsidP="0052024A">
                            <w:pPr>
                              <w:pStyle w:val="ListParagraph"/>
                              <w:numPr>
                                <w:ilvl w:val="0"/>
                                <w:numId w:val="23"/>
                              </w:numPr>
                              <w:rPr>
                                <w:color w:val="FF0000"/>
                              </w:rPr>
                            </w:pPr>
                            <w:r w:rsidRPr="003E5822">
                              <w:rPr>
                                <w:b/>
                                <w:color w:val="FF0000"/>
                              </w:rPr>
                              <w:t>Answer:</w:t>
                            </w:r>
                            <w:r>
                              <w:rPr>
                                <w:color w:val="FF0000"/>
                              </w:rPr>
                              <w:t xml:space="preserve">  </w:t>
                            </w:r>
                            <w:r w:rsidR="0052024A" w:rsidRPr="0052024A">
                              <w:rPr>
                                <w:color w:val="FF0000"/>
                              </w:rPr>
                              <w:t xml:space="preserve">Hold notice did not reflect business day of deposit. </w:t>
                            </w:r>
                            <w:r w:rsidR="0052024A" w:rsidRPr="0052024A">
                              <w:rPr>
                                <w:i/>
                                <w:color w:val="FF0000"/>
                              </w:rPr>
                              <w:t>229.2(g), 229.13(g) and 229.16(c)(2)(i)(B)</w:t>
                            </w:r>
                          </w:p>
                          <w:p w14:paraId="79A662CC" w14:textId="77777777" w:rsidR="0052024A" w:rsidRPr="00FD7665" w:rsidRDefault="0052024A" w:rsidP="0052024A">
                            <w:pPr>
                              <w:rPr>
                                <w:b/>
                              </w:rPr>
                            </w:pPr>
                          </w:p>
                          <w:p w14:paraId="0629BA6F" w14:textId="549317DB" w:rsidR="0052024A" w:rsidRDefault="005202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D98C47" id="_x0000_s1028" type="#_x0000_t202" style="position:absolute;margin-left:27.6pt;margin-top:1.8pt;width:430.2pt;height:75.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" fillcolor="white [3201]" strokecolor="#4f81bd [3204]" strokeweight="2pt">
                <v:textbox>
                  <w:txbxContent>
                    <w:p w14:paraId="68492699" w14:textId="328CD9B7" w:rsidR="0052024A" w:rsidRPr="0052024A" w:rsidRDefault="0052024A" w:rsidP="0052024A">
                      <w:pPr>
                        <w:rPr>
                          <w:b/>
                          <w:sz w:val="28"/>
                        </w:rPr>
                      </w:pPr>
                      <w:r w:rsidRPr="0052024A">
                        <w:rPr>
                          <w:b/>
                          <w:sz w:val="28"/>
                        </w:rPr>
                        <w:t>Spot the violation #3:  Case</w:t>
                      </w:r>
                      <w:r>
                        <w:rPr>
                          <w:b/>
                          <w:sz w:val="28"/>
                        </w:rPr>
                        <w:t>-</w:t>
                      </w:r>
                      <w:r w:rsidRPr="0052024A">
                        <w:rPr>
                          <w:b/>
                          <w:sz w:val="28"/>
                        </w:rPr>
                        <w:t>by</w:t>
                      </w:r>
                      <w:r>
                        <w:rPr>
                          <w:b/>
                          <w:sz w:val="28"/>
                        </w:rPr>
                        <w:t>-</w:t>
                      </w:r>
                      <w:r w:rsidRPr="0052024A">
                        <w:rPr>
                          <w:b/>
                          <w:sz w:val="28"/>
                        </w:rPr>
                        <w:t>Case Hold</w:t>
                      </w:r>
                    </w:p>
                    <w:p w14:paraId="595A9AD1" w14:textId="77777777" w:rsidR="0052024A" w:rsidRDefault="0052024A" w:rsidP="0052024A">
                      <w:pPr>
                        <w:rPr>
                          <w:b/>
                        </w:rPr>
                      </w:pPr>
                    </w:p>
                    <w:p w14:paraId="03F21899" w14:textId="165FD7F4" w:rsidR="0052024A" w:rsidRPr="0052024A" w:rsidRDefault="003E5822" w:rsidP="0052024A">
                      <w:pPr>
                        <w:pStyle w:val="ListParagraph"/>
                        <w:numPr>
                          <w:ilvl w:val="0"/>
                          <w:numId w:val="23"/>
                        </w:numPr>
                        <w:rPr>
                          <w:color w:val="FF0000"/>
                        </w:rPr>
                      </w:pPr>
                      <w:r w:rsidRPr="003E5822">
                        <w:rPr>
                          <w:b/>
                          <w:color w:val="FF0000"/>
                        </w:rPr>
                        <w:t>Answer:</w:t>
                      </w:r>
                      <w:r>
                        <w:rPr>
                          <w:color w:val="FF0000"/>
                        </w:rPr>
                        <w:t xml:space="preserve">  </w:t>
                      </w:r>
                      <w:r w:rsidR="0052024A" w:rsidRPr="0052024A">
                        <w:rPr>
                          <w:color w:val="FF0000"/>
                        </w:rPr>
                        <w:t xml:space="preserve">Hold notice did not reflect business day of deposit. </w:t>
                      </w:r>
                      <w:r w:rsidR="0052024A" w:rsidRPr="0052024A">
                        <w:rPr>
                          <w:i/>
                          <w:color w:val="FF0000"/>
                        </w:rPr>
                        <w:t>229.2(g), 229.13(g) and 229.16(c)(2)(i)(B)</w:t>
                      </w:r>
                    </w:p>
                    <w:p w14:paraId="79A662CC" w14:textId="77777777" w:rsidR="0052024A" w:rsidRPr="00FD7665" w:rsidRDefault="0052024A" w:rsidP="0052024A">
                      <w:pPr>
                        <w:rPr>
                          <w:b/>
                        </w:rPr>
                      </w:pPr>
                    </w:p>
                    <w:p w14:paraId="0629BA6F" w14:textId="549317DB" w:rsidR="0052024A" w:rsidRDefault="0052024A"/>
                  </w:txbxContent>
                </v:textbox>
                <w10:wrap type="square"/>
              </v:shape>
            </w:pict>
          </mc:Fallback>
        </mc:AlternateContent>
      </w:r>
    </w:p>
    <w:p w14:paraId="49241F7C" w14:textId="507BE349" w:rsidR="0052024A" w:rsidRDefault="0052024A" w:rsidP="0052024A">
      <w:pPr>
        <w:rPr>
          <w:color w:val="FF0000"/>
        </w:rPr>
      </w:pPr>
    </w:p>
    <w:p w14:paraId="3BCB41BC" w14:textId="77777777" w:rsidR="0052024A" w:rsidRPr="0052024A" w:rsidRDefault="0052024A" w:rsidP="0052024A">
      <w:pPr>
        <w:rPr>
          <w:color w:val="FF0000"/>
        </w:rPr>
      </w:pPr>
    </w:p>
    <w:p w14:paraId="55C906FC" w14:textId="174A0B03" w:rsidR="00A66639" w:rsidRDefault="00A66639" w:rsidP="007D5E44">
      <w:pPr>
        <w:pStyle w:val="ListParagraph"/>
        <w:rPr>
          <w:color w:val="FF0000"/>
        </w:rPr>
      </w:pPr>
    </w:p>
    <w:p w14:paraId="225AB426" w14:textId="77777777" w:rsidR="00200B40" w:rsidRPr="008B3E51" w:rsidRDefault="00200B40" w:rsidP="00200B40">
      <w:pPr>
        <w:rPr>
          <w:b/>
          <w:sz w:val="28"/>
          <w:szCs w:val="28"/>
          <w:u w:val="single"/>
        </w:rPr>
      </w:pPr>
      <w:r w:rsidRPr="008B3E51">
        <w:rPr>
          <w:b/>
          <w:sz w:val="28"/>
          <w:szCs w:val="28"/>
          <w:u w:val="single"/>
        </w:rPr>
        <w:t>Bank Secrecy Act</w:t>
      </w:r>
      <w:r w:rsidR="008B3E51">
        <w:rPr>
          <w:b/>
          <w:sz w:val="28"/>
          <w:szCs w:val="28"/>
          <w:u w:val="single"/>
        </w:rPr>
        <w:t xml:space="preserve"> - 31 CFR 10</w:t>
      </w:r>
      <w:r w:rsidR="004966E1">
        <w:rPr>
          <w:b/>
          <w:sz w:val="28"/>
          <w:szCs w:val="28"/>
          <w:u w:val="single"/>
        </w:rPr>
        <w:t>10 and 10</w:t>
      </w:r>
      <w:r w:rsidR="008B3E51">
        <w:rPr>
          <w:b/>
          <w:sz w:val="28"/>
          <w:szCs w:val="28"/>
          <w:u w:val="single"/>
        </w:rPr>
        <w:t>20</w:t>
      </w:r>
    </w:p>
    <w:p w14:paraId="0CBDE6A8" w14:textId="77777777" w:rsidR="00200B40" w:rsidRDefault="00200B40" w:rsidP="00200B40">
      <w:pPr>
        <w:rPr>
          <w:b/>
        </w:rPr>
      </w:pPr>
    </w:p>
    <w:p w14:paraId="6C466E21" w14:textId="77777777" w:rsidR="003D4FD0" w:rsidRDefault="003D4FD0" w:rsidP="003D4FD0"/>
    <w:p w14:paraId="64FBE38B" w14:textId="77777777" w:rsidR="003D4FD0" w:rsidRDefault="008003C2" w:rsidP="003D4FD0">
      <w:pPr>
        <w:rPr>
          <w:b/>
        </w:rPr>
      </w:pPr>
      <w:r>
        <w:rPr>
          <w:b/>
        </w:rPr>
        <w:t>Beneficial Owners</w:t>
      </w:r>
      <w:r w:rsidR="00113DF1">
        <w:rPr>
          <w:b/>
        </w:rPr>
        <w:t>/Customer Due Diligence</w:t>
      </w:r>
    </w:p>
    <w:p w14:paraId="2E553991" w14:textId="77777777" w:rsidR="00113DF1" w:rsidRDefault="00113DF1" w:rsidP="003D4FD0">
      <w:pPr>
        <w:rPr>
          <w:b/>
        </w:rPr>
      </w:pPr>
    </w:p>
    <w:p w14:paraId="0B60BD08" w14:textId="16303469" w:rsidR="00792B7C" w:rsidRPr="00666BFC" w:rsidRDefault="00792B7C" w:rsidP="00C24038">
      <w:pPr>
        <w:pStyle w:val="ListParagraph"/>
        <w:numPr>
          <w:ilvl w:val="0"/>
          <w:numId w:val="26"/>
        </w:numPr>
        <w:ind w:left="634"/>
      </w:pPr>
      <w:r>
        <w:t>Bank personnel did not resolve address discrepancy</w:t>
      </w:r>
      <w:r w:rsidR="002C7780">
        <w:t xml:space="preserve"> between address provided for a beneficial owner and the address on the verification document</w:t>
      </w:r>
      <w:r>
        <w:t xml:space="preserve">. </w:t>
      </w:r>
      <w:r w:rsidRPr="00792B7C">
        <w:rPr>
          <w:i/>
        </w:rPr>
        <w:t>1010.230(i)(1)(ii)</w:t>
      </w:r>
    </w:p>
    <w:p w14:paraId="5257630E" w14:textId="7B2013BE" w:rsidR="00666BFC" w:rsidRDefault="00666BFC" w:rsidP="00666BFC">
      <w:pPr>
        <w:ind w:left="360"/>
      </w:pPr>
    </w:p>
    <w:p w14:paraId="35D81115" w14:textId="77777777" w:rsidR="00666BFC" w:rsidRPr="00666BFC" w:rsidRDefault="00666BFC" w:rsidP="00666BFC">
      <w:pPr>
        <w:pStyle w:val="NormalWeb"/>
        <w:kinsoku w:val="0"/>
        <w:overflowPunct w:val="0"/>
        <w:spacing w:before="0" w:beforeAutospacing="0" w:after="0" w:afterAutospacing="0"/>
        <w:ind w:left="720"/>
        <w:textAlignment w:val="baseline"/>
        <w:rPr>
          <w:sz w:val="22"/>
          <w:szCs w:val="22"/>
        </w:rPr>
      </w:pPr>
      <w:r w:rsidRPr="00666BFC">
        <w:rPr>
          <w:rFonts w:eastAsiaTheme="minorEastAsia"/>
          <w:i/>
          <w:iCs/>
          <w:color w:val="FF0000"/>
          <w:sz w:val="22"/>
          <w:szCs w:val="22"/>
        </w:rPr>
        <w:t>(1) Required records. At a minimum the record must include:</w:t>
      </w:r>
    </w:p>
    <w:p w14:paraId="3D1416F7" w14:textId="77777777" w:rsidR="00666BFC" w:rsidRPr="00666BFC" w:rsidRDefault="00666BFC" w:rsidP="00666BFC">
      <w:pPr>
        <w:pStyle w:val="NormalWeb"/>
        <w:kinsoku w:val="0"/>
        <w:overflowPunct w:val="0"/>
        <w:spacing w:before="0" w:beforeAutospacing="0" w:after="0" w:afterAutospacing="0"/>
        <w:ind w:left="720"/>
        <w:textAlignment w:val="baseline"/>
        <w:rPr>
          <w:sz w:val="22"/>
          <w:szCs w:val="22"/>
        </w:rPr>
      </w:pPr>
      <w:r w:rsidRPr="00666BFC">
        <w:rPr>
          <w:rFonts w:eastAsiaTheme="minorEastAsia"/>
          <w:i/>
          <w:iCs/>
          <w:color w:val="FF0000"/>
          <w:sz w:val="22"/>
          <w:szCs w:val="22"/>
        </w:rPr>
        <w:t xml:space="preserve">(ii) For verification, a description of any document relied on (noting the type, any identification number, place of issuance and, if any, date of issuance and expiration), of any non-documentary methods and the results of any measures undertaken, </w:t>
      </w:r>
      <w:r w:rsidRPr="00666BFC">
        <w:rPr>
          <w:rFonts w:eastAsiaTheme="minorEastAsia"/>
          <w:i/>
          <w:iCs/>
          <w:color w:val="FF0000"/>
          <w:sz w:val="22"/>
          <w:szCs w:val="22"/>
          <w:u w:val="single"/>
        </w:rPr>
        <w:t>and of the resolution of each substantive discrepancy</w:t>
      </w:r>
      <w:r w:rsidRPr="00666BFC">
        <w:rPr>
          <w:rFonts w:eastAsiaTheme="minorEastAsia"/>
          <w:i/>
          <w:iCs/>
          <w:color w:val="FF0000"/>
          <w:sz w:val="22"/>
          <w:szCs w:val="22"/>
        </w:rPr>
        <w:t>.</w:t>
      </w:r>
    </w:p>
    <w:p w14:paraId="18A25EA8" w14:textId="77777777" w:rsidR="00666BFC" w:rsidRPr="00792B7C" w:rsidRDefault="00666BFC" w:rsidP="00666BFC">
      <w:pPr>
        <w:ind w:left="720"/>
      </w:pPr>
    </w:p>
    <w:p w14:paraId="1940898A" w14:textId="77777777" w:rsidR="00792B7C" w:rsidRDefault="00792B7C" w:rsidP="00792B7C">
      <w:pPr>
        <w:pStyle w:val="ListParagraph"/>
      </w:pPr>
    </w:p>
    <w:p w14:paraId="5BE93E5C" w14:textId="74F920F0" w:rsidR="00792B7C" w:rsidRPr="005B47DE" w:rsidRDefault="00AB50AF" w:rsidP="00C24038">
      <w:pPr>
        <w:pStyle w:val="ListParagraph"/>
        <w:numPr>
          <w:ilvl w:val="0"/>
          <w:numId w:val="26"/>
        </w:numPr>
        <w:ind w:left="634"/>
      </w:pPr>
      <w:r>
        <w:t>Bank personnel did not obtain a valid, unexpired d</w:t>
      </w:r>
      <w:r w:rsidR="00792B7C">
        <w:t xml:space="preserve">river’s license </w:t>
      </w:r>
      <w:r>
        <w:t>t</w:t>
      </w:r>
      <w:r w:rsidR="00792B7C">
        <w:t xml:space="preserve">o verify the identity of a beneficial owner. </w:t>
      </w:r>
      <w:r w:rsidR="00792B7C" w:rsidRPr="00792B7C">
        <w:rPr>
          <w:i/>
        </w:rPr>
        <w:t>1010.230(b), 1020.220(a)(2)(ii)(A)(1)</w:t>
      </w:r>
    </w:p>
    <w:p w14:paraId="1E0A375A" w14:textId="2D2C6139" w:rsidR="005B47DE" w:rsidRDefault="005B47DE" w:rsidP="005B47DE">
      <w:pPr>
        <w:pStyle w:val="ListParagraph"/>
      </w:pPr>
    </w:p>
    <w:p w14:paraId="4F96035E" w14:textId="77777777" w:rsidR="008862F6" w:rsidRPr="00C24038" w:rsidRDefault="008862F6" w:rsidP="008862F6">
      <w:pPr>
        <w:pStyle w:val="ListParagraph"/>
        <w:rPr>
          <w:i/>
          <w:color w:val="FF0000"/>
          <w:shd w:val="clear" w:color="auto" w:fill="FFFFFF"/>
        </w:rPr>
      </w:pPr>
      <w:r w:rsidRPr="00C24038">
        <w:rPr>
          <w:i/>
          <w:color w:val="FF0000"/>
          <w:shd w:val="clear" w:color="auto" w:fill="FFFFFF"/>
        </w:rPr>
        <w:t>1010.230(b</w:t>
      </w:r>
      <w:proofErr w:type="gramStart"/>
      <w:r w:rsidRPr="00C24038">
        <w:rPr>
          <w:i/>
          <w:color w:val="FF0000"/>
          <w:shd w:val="clear" w:color="auto" w:fill="FFFFFF"/>
        </w:rPr>
        <w:t>)(</w:t>
      </w:r>
      <w:proofErr w:type="gramEnd"/>
      <w:r w:rsidRPr="00C24038">
        <w:rPr>
          <w:i/>
          <w:color w:val="FF0000"/>
          <w:shd w:val="clear" w:color="auto" w:fill="FFFFFF"/>
        </w:rPr>
        <w:t>2) Verify the identity of each beneficial owner identified to the covered financial institution, according to risk-based procedures to the extent reasonable and practicable. At a minimum, these procedures must contain the elements required for verifying the identity of customers that are individuals under §1020.220(a</w:t>
      </w:r>
      <w:proofErr w:type="gramStart"/>
      <w:r w:rsidRPr="00C24038">
        <w:rPr>
          <w:i/>
          <w:color w:val="FF0000"/>
          <w:shd w:val="clear" w:color="auto" w:fill="FFFFFF"/>
        </w:rPr>
        <w:t>)(</w:t>
      </w:r>
      <w:proofErr w:type="gramEnd"/>
      <w:r w:rsidRPr="00C24038">
        <w:rPr>
          <w:i/>
          <w:color w:val="FF0000"/>
          <w:shd w:val="clear" w:color="auto" w:fill="FFFFFF"/>
        </w:rPr>
        <w:t>2)</w:t>
      </w:r>
    </w:p>
    <w:p w14:paraId="09FBFBFC" w14:textId="1F96F598" w:rsidR="008862F6" w:rsidRPr="00C24038" w:rsidRDefault="008862F6" w:rsidP="005B47DE">
      <w:pPr>
        <w:pStyle w:val="ListParagraph"/>
        <w:rPr>
          <w:i/>
          <w:color w:val="FF0000"/>
        </w:rPr>
      </w:pPr>
    </w:p>
    <w:p w14:paraId="1CA5C298" w14:textId="3AEBEE47" w:rsidR="008862F6" w:rsidRPr="009529BA" w:rsidRDefault="008862F6" w:rsidP="009529BA">
      <w:pPr>
        <w:pStyle w:val="in3"/>
        <w:shd w:val="clear" w:color="auto" w:fill="FFFFFF"/>
        <w:spacing w:before="0" w:beforeAutospacing="0" w:after="0" w:afterAutospacing="0"/>
        <w:ind w:left="720"/>
        <w:textAlignment w:val="baseline"/>
        <w:rPr>
          <w:i/>
          <w:color w:val="FF0000"/>
          <w:sz w:val="22"/>
          <w:szCs w:val="22"/>
        </w:rPr>
      </w:pPr>
      <w:r w:rsidRPr="009529BA">
        <w:rPr>
          <w:i/>
          <w:color w:val="FF0000"/>
          <w:sz w:val="22"/>
          <w:szCs w:val="22"/>
        </w:rPr>
        <w:t>1020.220(a</w:t>
      </w:r>
      <w:proofErr w:type="gramStart"/>
      <w:r w:rsidRPr="009529BA">
        <w:rPr>
          <w:i/>
          <w:color w:val="FF0000"/>
          <w:sz w:val="22"/>
          <w:szCs w:val="22"/>
        </w:rPr>
        <w:t>)(</w:t>
      </w:r>
      <w:proofErr w:type="gramEnd"/>
      <w:r w:rsidRPr="009529BA">
        <w:rPr>
          <w:i/>
          <w:color w:val="FF0000"/>
          <w:sz w:val="22"/>
          <w:szCs w:val="22"/>
        </w:rPr>
        <w:t>2)(ii)(A) </w:t>
      </w:r>
      <w:r w:rsidRPr="009529BA">
        <w:rPr>
          <w:i/>
          <w:iCs/>
          <w:color w:val="FF0000"/>
          <w:sz w:val="22"/>
          <w:szCs w:val="22"/>
          <w:bdr w:val="none" w:sz="0" w:space="0" w:color="auto" w:frame="1"/>
        </w:rPr>
        <w:t>Verification through documents.</w:t>
      </w:r>
      <w:r w:rsidRPr="009529BA">
        <w:rPr>
          <w:rFonts w:hint="eastAsia"/>
          <w:i/>
          <w:iCs/>
          <w:color w:val="FF0000"/>
          <w:sz w:val="22"/>
          <w:szCs w:val="22"/>
          <w:bdr w:val="none" w:sz="0" w:space="0" w:color="auto" w:frame="1"/>
        </w:rPr>
        <w:t> </w:t>
      </w:r>
      <w:r w:rsidRPr="009529BA">
        <w:rPr>
          <w:i/>
          <w:color w:val="FF0000"/>
          <w:sz w:val="22"/>
          <w:szCs w:val="22"/>
        </w:rPr>
        <w:t xml:space="preserve">For a bank relying on documents, the CIP must contain procedures that set forth the documents that the bank will use. These documents may include: </w:t>
      </w:r>
      <w:r w:rsidRPr="009529BA">
        <w:rPr>
          <w:i/>
          <w:iCs/>
          <w:color w:val="FF0000"/>
          <w:sz w:val="22"/>
          <w:szCs w:val="22"/>
          <w:bdr w:val="none" w:sz="0" w:space="0" w:color="auto" w:frame="1"/>
        </w:rPr>
        <w:t>(1)</w:t>
      </w:r>
      <w:r w:rsidRPr="009529BA">
        <w:rPr>
          <w:rFonts w:hint="eastAsia"/>
          <w:i/>
          <w:iCs/>
          <w:color w:val="FF0000"/>
          <w:sz w:val="22"/>
          <w:szCs w:val="22"/>
          <w:bdr w:val="none" w:sz="0" w:space="0" w:color="auto" w:frame="1"/>
        </w:rPr>
        <w:t> </w:t>
      </w:r>
      <w:proofErr w:type="gramStart"/>
      <w:r w:rsidRPr="009529BA">
        <w:rPr>
          <w:i/>
          <w:color w:val="FF0000"/>
          <w:sz w:val="22"/>
          <w:szCs w:val="22"/>
        </w:rPr>
        <w:t>For</w:t>
      </w:r>
      <w:proofErr w:type="gramEnd"/>
      <w:r w:rsidRPr="009529BA">
        <w:rPr>
          <w:i/>
          <w:color w:val="FF0000"/>
          <w:sz w:val="22"/>
          <w:szCs w:val="22"/>
        </w:rPr>
        <w:t xml:space="preserve"> an individual, unexpired government-issued identification evidencing nationality or residence and bearing a photograph or similar safeguard, such as a driver's license or passport; </w:t>
      </w:r>
    </w:p>
    <w:p w14:paraId="7D58819C" w14:textId="77777777" w:rsidR="008862F6" w:rsidRPr="008862F6" w:rsidRDefault="008862F6" w:rsidP="005B47DE">
      <w:pPr>
        <w:pStyle w:val="ListParagraph"/>
        <w:rPr>
          <w:i/>
        </w:rPr>
      </w:pPr>
    </w:p>
    <w:p w14:paraId="08FA28B4" w14:textId="32DA893C" w:rsidR="005B47DE" w:rsidRPr="00666BFC" w:rsidRDefault="002C7780" w:rsidP="00C24038">
      <w:pPr>
        <w:pStyle w:val="ListParagraph"/>
        <w:numPr>
          <w:ilvl w:val="0"/>
          <w:numId w:val="26"/>
        </w:numPr>
        <w:ind w:left="634"/>
      </w:pPr>
      <w:r>
        <w:t xml:space="preserve">Certification of Beneficial Owner Statement dated after account was opened. </w:t>
      </w:r>
      <w:r w:rsidRPr="002C7780">
        <w:rPr>
          <w:i/>
        </w:rPr>
        <w:t>1010.230(b)(1)</w:t>
      </w:r>
    </w:p>
    <w:p w14:paraId="2C0224E9" w14:textId="77777777" w:rsidR="00666BFC" w:rsidRDefault="00666BFC" w:rsidP="00666BFC">
      <w:pPr>
        <w:pStyle w:val="ListParagraph"/>
      </w:pPr>
    </w:p>
    <w:p w14:paraId="58452D96" w14:textId="3CD4A865" w:rsidR="00666BFC" w:rsidRPr="00666BFC" w:rsidRDefault="008862F6" w:rsidP="00666BFC">
      <w:pPr>
        <w:pStyle w:val="NormalWeb"/>
        <w:kinsoku w:val="0"/>
        <w:overflowPunct w:val="0"/>
        <w:spacing w:before="0" w:beforeAutospacing="0" w:after="0" w:afterAutospacing="0"/>
        <w:ind w:left="720"/>
        <w:textAlignment w:val="baseline"/>
        <w:rPr>
          <w:sz w:val="22"/>
          <w:szCs w:val="22"/>
        </w:rPr>
      </w:pPr>
      <w:r>
        <w:rPr>
          <w:rFonts w:eastAsiaTheme="minorEastAsia"/>
          <w:i/>
          <w:iCs/>
          <w:color w:val="FF0000"/>
          <w:sz w:val="22"/>
          <w:szCs w:val="22"/>
        </w:rPr>
        <w:t>(</w:t>
      </w:r>
      <w:r w:rsidR="00666BFC" w:rsidRPr="00666BFC">
        <w:rPr>
          <w:rFonts w:eastAsiaTheme="minorEastAsia"/>
          <w:i/>
          <w:iCs/>
          <w:color w:val="FF0000"/>
          <w:sz w:val="22"/>
          <w:szCs w:val="22"/>
        </w:rPr>
        <w:t xml:space="preserve">1) Identify the beneficial owner(s) of each legal entity customer </w:t>
      </w:r>
      <w:r w:rsidR="00666BFC" w:rsidRPr="00666BFC">
        <w:rPr>
          <w:rFonts w:eastAsiaTheme="minorEastAsia"/>
          <w:i/>
          <w:iCs/>
          <w:color w:val="FF0000"/>
          <w:sz w:val="22"/>
          <w:szCs w:val="22"/>
          <w:u w:val="single"/>
        </w:rPr>
        <w:t xml:space="preserve">at the time a new account is opened, </w:t>
      </w:r>
      <w:r w:rsidR="00666BFC" w:rsidRPr="00666BFC">
        <w:rPr>
          <w:rFonts w:eastAsiaTheme="minorEastAsia"/>
          <w:i/>
          <w:iCs/>
          <w:color w:val="FF0000"/>
          <w:sz w:val="22"/>
          <w:szCs w:val="22"/>
        </w:rPr>
        <w:t xml:space="preserve">unless the customer is otherwise excluded pursuant to paragraph (e) of this section or the account is exempted pursuant to paragraph (h) of this section. A covered financial institution may accomplish this either by obtaining a certification in the form of appendix A of this section from the individual opening the account on behalf of the legal entity customer, or by obtaining from </w:t>
      </w:r>
      <w:r w:rsidR="00666BFC" w:rsidRPr="00666BFC">
        <w:rPr>
          <w:rFonts w:eastAsiaTheme="minorEastAsia"/>
          <w:i/>
          <w:iCs/>
          <w:color w:val="FF0000"/>
          <w:sz w:val="22"/>
          <w:szCs w:val="22"/>
        </w:rPr>
        <w:lastRenderedPageBreak/>
        <w:t>the individual the information required by the form by another means, provided the individual certifies, to the best of the individual’s knowledge, the accuracy of the information.</w:t>
      </w:r>
    </w:p>
    <w:p w14:paraId="04CF9945" w14:textId="2E4A9A49" w:rsidR="00666BFC" w:rsidRDefault="0052024A" w:rsidP="00666BFC">
      <w:pPr>
        <w:ind w:left="720"/>
      </w:pPr>
      <w:r>
        <w:rPr>
          <w:noProof/>
        </w:rPr>
        <mc:AlternateContent>
          <mc:Choice Requires="wps">
            <w:drawing>
              <wp:anchor distT="45720" distB="45720" distL="114300" distR="114300" simplePos="0" relativeHeight="251665408" behindDoc="0" locked="0" layoutInCell="1" allowOverlap="1" wp14:anchorId="6C9DC309" wp14:editId="44B32B42">
                <wp:simplePos x="0" y="0"/>
                <wp:positionH relativeFrom="column">
                  <wp:posOffset>327660</wp:posOffset>
                </wp:positionH>
                <wp:positionV relativeFrom="paragraph">
                  <wp:posOffset>341630</wp:posOffset>
                </wp:positionV>
                <wp:extent cx="5615940" cy="1404620"/>
                <wp:effectExtent l="0" t="0" r="22860" b="165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5940" cy="1404620"/>
                        </a:xfrm>
                        <a:prstGeom prst="rect">
                          <a:avLst/>
                        </a:prstGeom>
                        <a:solidFill>
                          <a:srgbClr val="FFFFFF"/>
                        </a:solidFill>
                        <a:ln w="9525">
                          <a:solidFill>
                            <a:srgbClr val="000000"/>
                          </a:solidFill>
                          <a:miter lim="800000"/>
                          <a:headEnd/>
                          <a:tailEnd/>
                        </a:ln>
                      </wps:spPr>
                      <wps:txbx>
                        <w:txbxContent>
                          <w:p w14:paraId="62A7588A" w14:textId="1C3AA4D7" w:rsidR="0052024A" w:rsidRPr="00C02E5C" w:rsidRDefault="0052024A" w:rsidP="0052024A">
                            <w:pPr>
                              <w:ind w:left="720"/>
                            </w:pPr>
                          </w:p>
                          <w:p w14:paraId="03B80517" w14:textId="7F9FFC88" w:rsidR="0052024A" w:rsidRPr="0052024A" w:rsidRDefault="0052024A" w:rsidP="0052024A">
                            <w:pPr>
                              <w:rPr>
                                <w:b/>
                                <w:color w:val="000000" w:themeColor="text1"/>
                                <w:sz w:val="28"/>
                              </w:rPr>
                            </w:pPr>
                            <w:r w:rsidRPr="0052024A">
                              <w:rPr>
                                <w:b/>
                                <w:color w:val="000000" w:themeColor="text1"/>
                                <w:sz w:val="28"/>
                              </w:rPr>
                              <w:t>Spot the Violation #4: Beneficial Ownership Form</w:t>
                            </w:r>
                          </w:p>
                          <w:p w14:paraId="45A7E4B3" w14:textId="77777777" w:rsidR="0052024A" w:rsidRPr="00BD2772" w:rsidRDefault="0052024A" w:rsidP="0052024A">
                            <w:pPr>
                              <w:pStyle w:val="ListParagraph"/>
                            </w:pPr>
                          </w:p>
                          <w:p w14:paraId="53670404" w14:textId="79767ECB" w:rsidR="003E5822" w:rsidRPr="003E5822" w:rsidRDefault="003E5822" w:rsidP="003E5822">
                            <w:pPr>
                              <w:rPr>
                                <w:b/>
                                <w:color w:val="FF0000"/>
                              </w:rPr>
                            </w:pPr>
                            <w:r w:rsidRPr="003E5822">
                              <w:rPr>
                                <w:b/>
                                <w:color w:val="FF0000"/>
                              </w:rPr>
                              <w:t>Answers:</w:t>
                            </w:r>
                          </w:p>
                          <w:p w14:paraId="0981C0A0" w14:textId="37D3CCDD" w:rsidR="0052024A" w:rsidRDefault="0052024A" w:rsidP="0052024A">
                            <w:pPr>
                              <w:pStyle w:val="ListParagraph"/>
                              <w:numPr>
                                <w:ilvl w:val="0"/>
                                <w:numId w:val="30"/>
                              </w:numPr>
                              <w:rPr>
                                <w:color w:val="FF0000"/>
                              </w:rPr>
                            </w:pPr>
                            <w:r w:rsidRPr="0052024A">
                              <w:rPr>
                                <w:color w:val="FF0000"/>
                              </w:rPr>
                              <w:t xml:space="preserve">Checking account opened on Friday, January 14, 2022. Certification form does not contain evidence of authorized representative’s attestation of accuracy.  </w:t>
                            </w:r>
                          </w:p>
                          <w:p w14:paraId="54FD7A59" w14:textId="749769C8" w:rsidR="0052024A" w:rsidRPr="0052024A" w:rsidRDefault="0052024A" w:rsidP="0052024A">
                            <w:pPr>
                              <w:pStyle w:val="ListParagraph"/>
                              <w:numPr>
                                <w:ilvl w:val="0"/>
                                <w:numId w:val="30"/>
                              </w:numPr>
                              <w:rPr>
                                <w:color w:val="FF0000"/>
                              </w:rPr>
                            </w:pPr>
                            <w:r>
                              <w:rPr>
                                <w:color w:val="FF0000"/>
                              </w:rPr>
                              <w:t>Date on c</w:t>
                            </w:r>
                            <w:r w:rsidRPr="0052024A">
                              <w:rPr>
                                <w:color w:val="FF0000"/>
                              </w:rPr>
                              <w:t>e</w:t>
                            </w:r>
                            <w:bookmarkStart w:id="0" w:name="_GoBack"/>
                            <w:bookmarkEnd w:id="0"/>
                            <w:r w:rsidRPr="0052024A">
                              <w:rPr>
                                <w:color w:val="FF0000"/>
                              </w:rPr>
                              <w:t xml:space="preserve">rtification form </w:t>
                            </w:r>
                            <w:r>
                              <w:rPr>
                                <w:color w:val="FF0000"/>
                              </w:rPr>
                              <w:t>is a</w:t>
                            </w:r>
                            <w:r w:rsidRPr="0052024A">
                              <w:rPr>
                                <w:color w:val="FF0000"/>
                              </w:rPr>
                              <w:t>fter checking account open</w:t>
                            </w:r>
                            <w:r>
                              <w:rPr>
                                <w:color w:val="FF0000"/>
                              </w:rPr>
                              <w:t xml:space="preserve"> date</w:t>
                            </w:r>
                            <w:r w:rsidRPr="0052024A">
                              <w:rPr>
                                <w:color w:val="FF0000"/>
                              </w:rPr>
                              <w:t xml:space="preserve">. </w:t>
                            </w:r>
                          </w:p>
                          <w:p w14:paraId="4084433C" w14:textId="0BD8EE4D" w:rsidR="0052024A" w:rsidRDefault="0052024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9DC309" id="_x0000_s1029" type="#_x0000_t202" style="position:absolute;left:0;text-align:left;margin-left:25.8pt;margin-top:26.9pt;width:442.2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">
                <v:textbox style="mso-fit-shape-to-text:t">
                  <w:txbxContent>
                    <w:p w14:paraId="62A7588A" w14:textId="1C3AA4D7" w:rsidR="0052024A" w:rsidRPr="00C02E5C" w:rsidRDefault="0052024A" w:rsidP="0052024A">
                      <w:pPr>
                        <w:ind w:left="720"/>
                      </w:pPr>
                    </w:p>
                    <w:p w14:paraId="03B80517" w14:textId="7F9FFC88" w:rsidR="0052024A" w:rsidRPr="0052024A" w:rsidRDefault="0052024A" w:rsidP="0052024A">
                      <w:pPr>
                        <w:rPr>
                          <w:b/>
                          <w:color w:val="000000" w:themeColor="text1"/>
                          <w:sz w:val="28"/>
                        </w:rPr>
                      </w:pPr>
                      <w:r w:rsidRPr="0052024A">
                        <w:rPr>
                          <w:b/>
                          <w:color w:val="000000" w:themeColor="text1"/>
                          <w:sz w:val="28"/>
                        </w:rPr>
                        <w:t>Spot the Violation #4: Beneficial Ownership Form</w:t>
                      </w:r>
                    </w:p>
                    <w:p w14:paraId="45A7E4B3" w14:textId="77777777" w:rsidR="0052024A" w:rsidRPr="00BD2772" w:rsidRDefault="0052024A" w:rsidP="0052024A">
                      <w:pPr>
                        <w:pStyle w:val="ListParagraph"/>
                      </w:pPr>
                    </w:p>
                    <w:p w14:paraId="53670404" w14:textId="79767ECB" w:rsidR="003E5822" w:rsidRPr="003E5822" w:rsidRDefault="003E5822" w:rsidP="003E5822">
                      <w:pPr>
                        <w:rPr>
                          <w:b/>
                          <w:color w:val="FF0000"/>
                        </w:rPr>
                      </w:pPr>
                      <w:r w:rsidRPr="003E5822">
                        <w:rPr>
                          <w:b/>
                          <w:color w:val="FF0000"/>
                        </w:rPr>
                        <w:t>Answers:</w:t>
                      </w:r>
                    </w:p>
                    <w:p w14:paraId="0981C0A0" w14:textId="37D3CCDD" w:rsidR="0052024A" w:rsidRDefault="0052024A" w:rsidP="0052024A">
                      <w:pPr>
                        <w:pStyle w:val="ListParagraph"/>
                        <w:numPr>
                          <w:ilvl w:val="0"/>
                          <w:numId w:val="30"/>
                        </w:numPr>
                        <w:rPr>
                          <w:color w:val="FF0000"/>
                        </w:rPr>
                      </w:pPr>
                      <w:r w:rsidRPr="0052024A">
                        <w:rPr>
                          <w:color w:val="FF0000"/>
                        </w:rPr>
                        <w:t xml:space="preserve">Checking account opened on Friday, January 14, 2022. Certification form does not contain evidence of authorized representative’s attestation of accuracy.  </w:t>
                      </w:r>
                    </w:p>
                    <w:p w14:paraId="54FD7A59" w14:textId="749769C8" w:rsidR="0052024A" w:rsidRPr="0052024A" w:rsidRDefault="0052024A" w:rsidP="0052024A">
                      <w:pPr>
                        <w:pStyle w:val="ListParagraph"/>
                        <w:numPr>
                          <w:ilvl w:val="0"/>
                          <w:numId w:val="30"/>
                        </w:numPr>
                        <w:rPr>
                          <w:color w:val="FF0000"/>
                        </w:rPr>
                      </w:pPr>
                      <w:r>
                        <w:rPr>
                          <w:color w:val="FF0000"/>
                        </w:rPr>
                        <w:t>Date on c</w:t>
                      </w:r>
                      <w:r w:rsidRPr="0052024A">
                        <w:rPr>
                          <w:color w:val="FF0000"/>
                        </w:rPr>
                        <w:t>e</w:t>
                      </w:r>
                      <w:bookmarkStart w:id="1" w:name="_GoBack"/>
                      <w:bookmarkEnd w:id="1"/>
                      <w:r w:rsidRPr="0052024A">
                        <w:rPr>
                          <w:color w:val="FF0000"/>
                        </w:rPr>
                        <w:t xml:space="preserve">rtification form </w:t>
                      </w:r>
                      <w:r>
                        <w:rPr>
                          <w:color w:val="FF0000"/>
                        </w:rPr>
                        <w:t>is a</w:t>
                      </w:r>
                      <w:r w:rsidRPr="0052024A">
                        <w:rPr>
                          <w:color w:val="FF0000"/>
                        </w:rPr>
                        <w:t>fter checking account open</w:t>
                      </w:r>
                      <w:r>
                        <w:rPr>
                          <w:color w:val="FF0000"/>
                        </w:rPr>
                        <w:t xml:space="preserve"> date</w:t>
                      </w:r>
                      <w:r w:rsidRPr="0052024A">
                        <w:rPr>
                          <w:color w:val="FF0000"/>
                        </w:rPr>
                        <w:t xml:space="preserve">. </w:t>
                      </w:r>
                    </w:p>
                    <w:p w14:paraId="4084433C" w14:textId="0BD8EE4D" w:rsidR="0052024A" w:rsidRDefault="0052024A"/>
                  </w:txbxContent>
                </v:textbox>
                <w10:wrap type="square"/>
              </v:shape>
            </w:pict>
          </mc:Fallback>
        </mc:AlternateContent>
      </w:r>
    </w:p>
    <w:p w14:paraId="3EF201AC" w14:textId="462E3A26" w:rsidR="00666BFC" w:rsidRDefault="00666BFC" w:rsidP="0052024A"/>
    <w:p w14:paraId="688C7900" w14:textId="38DA6B13" w:rsidR="0052024A" w:rsidRDefault="0052024A" w:rsidP="0052024A"/>
    <w:p w14:paraId="53F7213C" w14:textId="77777777" w:rsidR="0052024A" w:rsidRDefault="0052024A" w:rsidP="0052024A"/>
    <w:p w14:paraId="43A32799" w14:textId="6981E735" w:rsidR="00A66639" w:rsidRDefault="00A66639" w:rsidP="00666BFC">
      <w:pPr>
        <w:ind w:left="720"/>
      </w:pPr>
    </w:p>
    <w:sectPr w:rsidR="00A6663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7DF7A3" w14:textId="77777777" w:rsidR="00F13BEE" w:rsidRDefault="00F13BEE" w:rsidP="0008082D">
      <w:r>
        <w:separator/>
      </w:r>
    </w:p>
  </w:endnote>
  <w:endnote w:type="continuationSeparator" w:id="0">
    <w:p w14:paraId="7A914558" w14:textId="77777777" w:rsidR="00F13BEE" w:rsidRDefault="00F13BEE" w:rsidP="00080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AFF87E" w14:textId="1A376F51" w:rsidR="0008082D" w:rsidRPr="008B3E51" w:rsidRDefault="008B3E51">
    <w:pPr>
      <w:pStyle w:val="Footer"/>
      <w:pBdr>
        <w:top w:val="single" w:sz="4" w:space="1" w:color="D9D9D9" w:themeColor="background1" w:themeShade="D9"/>
      </w:pBdr>
      <w:rPr>
        <w:i/>
        <w:sz w:val="18"/>
        <w:szCs w:val="18"/>
      </w:rPr>
    </w:pPr>
    <w:r>
      <w:rPr>
        <w:i/>
        <w:sz w:val="18"/>
        <w:szCs w:val="18"/>
      </w:rPr>
      <w:t xml:space="preserve">Deposit School </w:t>
    </w:r>
    <w:r w:rsidR="00606503">
      <w:rPr>
        <w:i/>
        <w:sz w:val="18"/>
        <w:szCs w:val="18"/>
      </w:rPr>
      <w:t>2022</w:t>
    </w:r>
    <w:r w:rsidR="0008082D">
      <w:tab/>
    </w:r>
    <w:r w:rsidR="0008082D">
      <w:tab/>
    </w:r>
    <w:sdt>
      <w:sdtPr>
        <w:id w:val="1654561046"/>
        <w:docPartObj>
          <w:docPartGallery w:val="Page Numbers (Bottom of Page)"/>
          <w:docPartUnique/>
        </w:docPartObj>
      </w:sdtPr>
      <w:sdtEndPr>
        <w:rPr>
          <w:color w:val="808080" w:themeColor="background1" w:themeShade="80"/>
          <w:spacing w:val="60"/>
        </w:rPr>
      </w:sdtEndPr>
      <w:sdtContent>
        <w:r w:rsidR="0008082D" w:rsidRPr="008B3E51">
          <w:rPr>
            <w:sz w:val="18"/>
            <w:szCs w:val="18"/>
          </w:rPr>
          <w:fldChar w:fldCharType="begin"/>
        </w:r>
        <w:r w:rsidR="0008082D" w:rsidRPr="008B3E51">
          <w:rPr>
            <w:sz w:val="18"/>
            <w:szCs w:val="18"/>
          </w:rPr>
          <w:instrText xml:space="preserve"> PAGE   \* MERGEFORMAT </w:instrText>
        </w:r>
        <w:r w:rsidR="0008082D" w:rsidRPr="008B3E51">
          <w:rPr>
            <w:sz w:val="18"/>
            <w:szCs w:val="18"/>
          </w:rPr>
          <w:fldChar w:fldCharType="separate"/>
        </w:r>
        <w:r w:rsidR="003E5822" w:rsidRPr="003E5822">
          <w:rPr>
            <w:b/>
            <w:bCs/>
            <w:noProof/>
            <w:sz w:val="18"/>
            <w:szCs w:val="18"/>
          </w:rPr>
          <w:t>5</w:t>
        </w:r>
        <w:r w:rsidR="0008082D" w:rsidRPr="008B3E51">
          <w:rPr>
            <w:b/>
            <w:bCs/>
            <w:noProof/>
            <w:sz w:val="18"/>
            <w:szCs w:val="18"/>
          </w:rPr>
          <w:fldChar w:fldCharType="end"/>
        </w:r>
        <w:r w:rsidR="0008082D" w:rsidRPr="008B3E51">
          <w:rPr>
            <w:b/>
            <w:bCs/>
            <w:sz w:val="18"/>
            <w:szCs w:val="18"/>
          </w:rPr>
          <w:t xml:space="preserve"> | </w:t>
        </w:r>
        <w:r w:rsidR="0008082D" w:rsidRPr="008B3E51">
          <w:rPr>
            <w:color w:val="808080" w:themeColor="background1" w:themeShade="80"/>
            <w:spacing w:val="60"/>
            <w:sz w:val="18"/>
            <w:szCs w:val="18"/>
          </w:rPr>
          <w:t>Page</w:t>
        </w:r>
      </w:sdtContent>
    </w:sdt>
  </w:p>
  <w:p w14:paraId="0DDCC24F" w14:textId="77777777" w:rsidR="0008082D" w:rsidRDefault="00080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AD527" w14:textId="77777777" w:rsidR="00F13BEE" w:rsidRDefault="00F13BEE" w:rsidP="0008082D">
      <w:r>
        <w:separator/>
      </w:r>
    </w:p>
  </w:footnote>
  <w:footnote w:type="continuationSeparator" w:id="0">
    <w:p w14:paraId="213112E8" w14:textId="77777777" w:rsidR="00F13BEE" w:rsidRDefault="00F13BEE" w:rsidP="00080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1C8560" w14:textId="7A0AA2CE" w:rsidR="00DE5874" w:rsidRDefault="00DE5874">
    <w:pPr>
      <w:pStyle w:val="Header"/>
    </w:pPr>
    <w:r>
      <w:rPr>
        <w:noProof/>
      </w:rPr>
      <mc:AlternateContent>
        <mc:Choice Requires="wps">
          <w:drawing>
            <wp:anchor distT="0" distB="0" distL="118745" distR="118745" simplePos="0" relativeHeight="251659264" behindDoc="1" locked="0" layoutInCell="1" allowOverlap="0" wp14:anchorId="0514C1A9" wp14:editId="0856179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FBA02CC" w14:textId="2B9C6A99" w:rsidR="00DE5874" w:rsidRDefault="00DE5874">
                              <w:pPr>
                                <w:pStyle w:val="Header"/>
                                <w:tabs>
                                  <w:tab w:val="clear" w:pos="4680"/>
                                  <w:tab w:val="clear" w:pos="9360"/>
                                </w:tabs>
                                <w:jc w:val="center"/>
                                <w:rPr>
                                  <w:caps/>
                                  <w:color w:val="FFFFFF" w:themeColor="background1"/>
                                </w:rPr>
                              </w:pPr>
                              <w:r>
                                <w:rPr>
                                  <w:caps/>
                                  <w:color w:val="FFFFFF" w:themeColor="background1"/>
                                </w:rPr>
                                <w:t>HOT TOPICS – DEPOSITS &amp; BENEFICIAL OWNERSHIP/CUSTOMER DUE DILIGENCE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514C1A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6FBA02CC" w14:textId="2B9C6A99" w:rsidR="00DE5874" w:rsidRDefault="00DE5874">
                        <w:pPr>
                          <w:pStyle w:val="Header"/>
                          <w:tabs>
                            <w:tab w:val="clear" w:pos="4680"/>
                            <w:tab w:val="clear" w:pos="9360"/>
                          </w:tabs>
                          <w:jc w:val="center"/>
                          <w:rPr>
                            <w:caps/>
                            <w:color w:val="FFFFFF" w:themeColor="background1"/>
                          </w:rPr>
                        </w:pPr>
                        <w:r>
                          <w:rPr>
                            <w:caps/>
                            <w:color w:val="FFFFFF" w:themeColor="background1"/>
                          </w:rPr>
                          <w:t>HOT TOPICS – DEPOSITS &amp; BENEFICIAL OWNERSHIP/CUSTOMER DUE DILIGENCE</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1D6439"/>
    <w:multiLevelType w:val="hybridMultilevel"/>
    <w:tmpl w:val="5B8C5C20"/>
    <w:lvl w:ilvl="0" w:tplc="8A345C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D5017C"/>
    <w:multiLevelType w:val="hybridMultilevel"/>
    <w:tmpl w:val="28E666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B240E0"/>
    <w:multiLevelType w:val="hybridMultilevel"/>
    <w:tmpl w:val="332A5A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46676A"/>
    <w:multiLevelType w:val="hybridMultilevel"/>
    <w:tmpl w:val="9F5E6D88"/>
    <w:lvl w:ilvl="0" w:tplc="84EE3758">
      <w:start w:val="1"/>
      <w:numFmt w:val="decimal"/>
      <w:lvlText w:val="%1."/>
      <w:lvlJc w:val="left"/>
      <w:pPr>
        <w:ind w:left="63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D0E4D"/>
    <w:multiLevelType w:val="hybridMultilevel"/>
    <w:tmpl w:val="BD9EDC42"/>
    <w:lvl w:ilvl="0" w:tplc="54326206">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EC6D8D"/>
    <w:multiLevelType w:val="hybridMultilevel"/>
    <w:tmpl w:val="61EE7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7F62A3"/>
    <w:multiLevelType w:val="hybridMultilevel"/>
    <w:tmpl w:val="47388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37F15"/>
    <w:multiLevelType w:val="hybridMultilevel"/>
    <w:tmpl w:val="C9729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1A256A"/>
    <w:multiLevelType w:val="hybridMultilevel"/>
    <w:tmpl w:val="0B90E6CA"/>
    <w:lvl w:ilvl="0" w:tplc="42D2DE6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43C363D5"/>
    <w:multiLevelType w:val="hybridMultilevel"/>
    <w:tmpl w:val="36745582"/>
    <w:lvl w:ilvl="0" w:tplc="46802D9A">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5F2AC4"/>
    <w:multiLevelType w:val="hybridMultilevel"/>
    <w:tmpl w:val="DFC415E0"/>
    <w:lvl w:ilvl="0" w:tplc="0584D62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4F1619"/>
    <w:multiLevelType w:val="hybridMultilevel"/>
    <w:tmpl w:val="D60AF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F886738"/>
    <w:multiLevelType w:val="hybridMultilevel"/>
    <w:tmpl w:val="1CCE5346"/>
    <w:lvl w:ilvl="0" w:tplc="B82E2D8C">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69440F9"/>
    <w:multiLevelType w:val="hybridMultilevel"/>
    <w:tmpl w:val="B78AD7EA"/>
    <w:lvl w:ilvl="0" w:tplc="89B8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7025BE"/>
    <w:multiLevelType w:val="hybridMultilevel"/>
    <w:tmpl w:val="44B2B230"/>
    <w:lvl w:ilvl="0" w:tplc="3E76A2B6">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FA5A7A"/>
    <w:multiLevelType w:val="hybridMultilevel"/>
    <w:tmpl w:val="FDF897E8"/>
    <w:lvl w:ilvl="0" w:tplc="84EE3758">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185251"/>
    <w:multiLevelType w:val="hybridMultilevel"/>
    <w:tmpl w:val="203A9BDC"/>
    <w:lvl w:ilvl="0" w:tplc="84EE3758">
      <w:start w:val="1"/>
      <w:numFmt w:val="decimal"/>
      <w:lvlText w:val="%1."/>
      <w:lvlJc w:val="left"/>
      <w:pPr>
        <w:ind w:left="63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FB6633"/>
    <w:multiLevelType w:val="hybridMultilevel"/>
    <w:tmpl w:val="177EA7D8"/>
    <w:lvl w:ilvl="0" w:tplc="AB964BC8">
      <w:start w:val="4"/>
      <w:numFmt w:val="decimal"/>
      <w:lvlText w:val="%1."/>
      <w:lvlJc w:val="left"/>
      <w:pPr>
        <w:ind w:left="63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F55493"/>
    <w:multiLevelType w:val="hybridMultilevel"/>
    <w:tmpl w:val="A54CE14E"/>
    <w:lvl w:ilvl="0" w:tplc="46802D9A">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4C6ED4"/>
    <w:multiLevelType w:val="hybridMultilevel"/>
    <w:tmpl w:val="43380FC8"/>
    <w:lvl w:ilvl="0" w:tplc="64CEC0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F516C2"/>
    <w:multiLevelType w:val="hybridMultilevel"/>
    <w:tmpl w:val="6804EFCE"/>
    <w:lvl w:ilvl="0" w:tplc="04464184">
      <w:start w:val="3"/>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3186D5A"/>
    <w:multiLevelType w:val="hybridMultilevel"/>
    <w:tmpl w:val="F0F8DEAC"/>
    <w:lvl w:ilvl="0" w:tplc="E2C2C3B0">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E72F41"/>
    <w:multiLevelType w:val="hybridMultilevel"/>
    <w:tmpl w:val="063EFB12"/>
    <w:lvl w:ilvl="0" w:tplc="B82E2D8C">
      <w:start w:val="1"/>
      <w:numFmt w:val="decimal"/>
      <w:lvlText w:val="%1."/>
      <w:lvlJc w:val="left"/>
      <w:pPr>
        <w:ind w:left="63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323E6B"/>
    <w:multiLevelType w:val="hybridMultilevel"/>
    <w:tmpl w:val="A8D22928"/>
    <w:lvl w:ilvl="0" w:tplc="89B8BD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8A12AB"/>
    <w:multiLevelType w:val="hybridMultilevel"/>
    <w:tmpl w:val="C24C5C00"/>
    <w:lvl w:ilvl="0" w:tplc="54326206">
      <w:start w:val="1"/>
      <w:numFmt w:val="decimal"/>
      <w:lvlText w:val="%1."/>
      <w:lvlJc w:val="left"/>
      <w:pPr>
        <w:ind w:left="63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F37645"/>
    <w:multiLevelType w:val="hybridMultilevel"/>
    <w:tmpl w:val="F21A9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6F0403"/>
    <w:multiLevelType w:val="hybridMultilevel"/>
    <w:tmpl w:val="39BE92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974D87"/>
    <w:multiLevelType w:val="hybridMultilevel"/>
    <w:tmpl w:val="8A7645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FBF34AB"/>
    <w:multiLevelType w:val="hybridMultilevel"/>
    <w:tmpl w:val="9F5E6D88"/>
    <w:lvl w:ilvl="0" w:tplc="84EE3758">
      <w:start w:val="1"/>
      <w:numFmt w:val="decimal"/>
      <w:lvlText w:val="%1."/>
      <w:lvlJc w:val="left"/>
      <w:pPr>
        <w:ind w:left="63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892631"/>
    <w:multiLevelType w:val="hybridMultilevel"/>
    <w:tmpl w:val="77465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0"/>
  </w:num>
  <w:num w:numId="4">
    <w:abstractNumId w:val="10"/>
  </w:num>
  <w:num w:numId="5">
    <w:abstractNumId w:val="19"/>
  </w:num>
  <w:num w:numId="6">
    <w:abstractNumId w:val="23"/>
  </w:num>
  <w:num w:numId="7">
    <w:abstractNumId w:val="13"/>
  </w:num>
  <w:num w:numId="8">
    <w:abstractNumId w:val="26"/>
  </w:num>
  <w:num w:numId="9">
    <w:abstractNumId w:val="28"/>
  </w:num>
  <w:num w:numId="10">
    <w:abstractNumId w:val="15"/>
  </w:num>
  <w:num w:numId="11">
    <w:abstractNumId w:val="16"/>
  </w:num>
  <w:num w:numId="12">
    <w:abstractNumId w:val="4"/>
  </w:num>
  <w:num w:numId="13">
    <w:abstractNumId w:val="24"/>
  </w:num>
  <w:num w:numId="14">
    <w:abstractNumId w:val="22"/>
  </w:num>
  <w:num w:numId="15">
    <w:abstractNumId w:val="12"/>
  </w:num>
  <w:num w:numId="16">
    <w:abstractNumId w:val="18"/>
  </w:num>
  <w:num w:numId="17">
    <w:abstractNumId w:val="2"/>
  </w:num>
  <w:num w:numId="18">
    <w:abstractNumId w:val="9"/>
  </w:num>
  <w:num w:numId="19">
    <w:abstractNumId w:val="25"/>
  </w:num>
  <w:num w:numId="20">
    <w:abstractNumId w:val="21"/>
  </w:num>
  <w:num w:numId="21">
    <w:abstractNumId w:val="14"/>
  </w:num>
  <w:num w:numId="22">
    <w:abstractNumId w:val="3"/>
  </w:num>
  <w:num w:numId="23">
    <w:abstractNumId w:val="27"/>
  </w:num>
  <w:num w:numId="24">
    <w:abstractNumId w:val="7"/>
  </w:num>
  <w:num w:numId="25">
    <w:abstractNumId w:val="29"/>
  </w:num>
  <w:num w:numId="26">
    <w:abstractNumId w:val="6"/>
  </w:num>
  <w:num w:numId="27">
    <w:abstractNumId w:val="8"/>
  </w:num>
  <w:num w:numId="28">
    <w:abstractNumId w:val="20"/>
  </w:num>
  <w:num w:numId="29">
    <w:abstractNumId w:val="1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5BF"/>
    <w:rsid w:val="0004337E"/>
    <w:rsid w:val="00070945"/>
    <w:rsid w:val="00073259"/>
    <w:rsid w:val="00073514"/>
    <w:rsid w:val="000755BF"/>
    <w:rsid w:val="0008082D"/>
    <w:rsid w:val="00090114"/>
    <w:rsid w:val="000A1095"/>
    <w:rsid w:val="000B1125"/>
    <w:rsid w:val="000F1B0F"/>
    <w:rsid w:val="00105C15"/>
    <w:rsid w:val="00113DF1"/>
    <w:rsid w:val="00130D19"/>
    <w:rsid w:val="00141C86"/>
    <w:rsid w:val="0014274B"/>
    <w:rsid w:val="0017273A"/>
    <w:rsid w:val="001843C9"/>
    <w:rsid w:val="00193F6E"/>
    <w:rsid w:val="001A02DB"/>
    <w:rsid w:val="001A21D0"/>
    <w:rsid w:val="00200B40"/>
    <w:rsid w:val="00227B32"/>
    <w:rsid w:val="00232033"/>
    <w:rsid w:val="00241299"/>
    <w:rsid w:val="002741FF"/>
    <w:rsid w:val="00297FAD"/>
    <w:rsid w:val="002B2436"/>
    <w:rsid w:val="002C0EFF"/>
    <w:rsid w:val="002C4A24"/>
    <w:rsid w:val="002C7780"/>
    <w:rsid w:val="002F46F3"/>
    <w:rsid w:val="003014AE"/>
    <w:rsid w:val="003134AC"/>
    <w:rsid w:val="00342588"/>
    <w:rsid w:val="00384207"/>
    <w:rsid w:val="003D4FD0"/>
    <w:rsid w:val="003E5822"/>
    <w:rsid w:val="003F63BE"/>
    <w:rsid w:val="004148BF"/>
    <w:rsid w:val="0042309E"/>
    <w:rsid w:val="00446582"/>
    <w:rsid w:val="00455F2C"/>
    <w:rsid w:val="00493B93"/>
    <w:rsid w:val="004966E1"/>
    <w:rsid w:val="004D3DC2"/>
    <w:rsid w:val="004E77C7"/>
    <w:rsid w:val="004F0ED1"/>
    <w:rsid w:val="005037A4"/>
    <w:rsid w:val="00507CEE"/>
    <w:rsid w:val="00517012"/>
    <w:rsid w:val="0052024A"/>
    <w:rsid w:val="005563B6"/>
    <w:rsid w:val="00575537"/>
    <w:rsid w:val="005B0BDE"/>
    <w:rsid w:val="005B3062"/>
    <w:rsid w:val="005B47DE"/>
    <w:rsid w:val="005D439A"/>
    <w:rsid w:val="005E6F36"/>
    <w:rsid w:val="00606503"/>
    <w:rsid w:val="00633927"/>
    <w:rsid w:val="00642503"/>
    <w:rsid w:val="00644D4A"/>
    <w:rsid w:val="00646665"/>
    <w:rsid w:val="00661A85"/>
    <w:rsid w:val="006635C0"/>
    <w:rsid w:val="00666BFC"/>
    <w:rsid w:val="006670E4"/>
    <w:rsid w:val="00676DB1"/>
    <w:rsid w:val="00694B7E"/>
    <w:rsid w:val="006A7B83"/>
    <w:rsid w:val="006D4731"/>
    <w:rsid w:val="0070647B"/>
    <w:rsid w:val="007403C2"/>
    <w:rsid w:val="00742760"/>
    <w:rsid w:val="00757684"/>
    <w:rsid w:val="00792B7C"/>
    <w:rsid w:val="007C6928"/>
    <w:rsid w:val="007D13BD"/>
    <w:rsid w:val="007D4214"/>
    <w:rsid w:val="007D5E44"/>
    <w:rsid w:val="007F00ED"/>
    <w:rsid w:val="008003C2"/>
    <w:rsid w:val="0080503C"/>
    <w:rsid w:val="008066A4"/>
    <w:rsid w:val="00837A08"/>
    <w:rsid w:val="00850626"/>
    <w:rsid w:val="008662A9"/>
    <w:rsid w:val="008862F6"/>
    <w:rsid w:val="008967C4"/>
    <w:rsid w:val="008976B8"/>
    <w:rsid w:val="008B15CA"/>
    <w:rsid w:val="008B3E51"/>
    <w:rsid w:val="008E3A89"/>
    <w:rsid w:val="008F4755"/>
    <w:rsid w:val="008F5C74"/>
    <w:rsid w:val="008F5D47"/>
    <w:rsid w:val="009131E1"/>
    <w:rsid w:val="00926545"/>
    <w:rsid w:val="009268C7"/>
    <w:rsid w:val="009529BA"/>
    <w:rsid w:val="009C25A1"/>
    <w:rsid w:val="009C7180"/>
    <w:rsid w:val="009F0B6A"/>
    <w:rsid w:val="00A04F29"/>
    <w:rsid w:val="00A205AB"/>
    <w:rsid w:val="00A20F30"/>
    <w:rsid w:val="00A373B2"/>
    <w:rsid w:val="00A6085A"/>
    <w:rsid w:val="00A66639"/>
    <w:rsid w:val="00A87FB5"/>
    <w:rsid w:val="00AB2754"/>
    <w:rsid w:val="00AB50AF"/>
    <w:rsid w:val="00AC27CE"/>
    <w:rsid w:val="00AC5AA8"/>
    <w:rsid w:val="00AE097B"/>
    <w:rsid w:val="00B1033C"/>
    <w:rsid w:val="00B21D10"/>
    <w:rsid w:val="00B3725A"/>
    <w:rsid w:val="00B77A78"/>
    <w:rsid w:val="00BA634D"/>
    <w:rsid w:val="00BA7FBF"/>
    <w:rsid w:val="00BC083C"/>
    <w:rsid w:val="00BD2772"/>
    <w:rsid w:val="00BD4283"/>
    <w:rsid w:val="00BE0379"/>
    <w:rsid w:val="00BE6442"/>
    <w:rsid w:val="00BF2A30"/>
    <w:rsid w:val="00BF62BC"/>
    <w:rsid w:val="00C02E5C"/>
    <w:rsid w:val="00C2183D"/>
    <w:rsid w:val="00C24038"/>
    <w:rsid w:val="00C27B29"/>
    <w:rsid w:val="00C4003B"/>
    <w:rsid w:val="00C441CC"/>
    <w:rsid w:val="00C9205E"/>
    <w:rsid w:val="00CA3585"/>
    <w:rsid w:val="00CC603A"/>
    <w:rsid w:val="00CC7299"/>
    <w:rsid w:val="00D2263A"/>
    <w:rsid w:val="00D30AFC"/>
    <w:rsid w:val="00D43100"/>
    <w:rsid w:val="00D72F0E"/>
    <w:rsid w:val="00D8072F"/>
    <w:rsid w:val="00D85865"/>
    <w:rsid w:val="00D91914"/>
    <w:rsid w:val="00DB23D8"/>
    <w:rsid w:val="00DE5874"/>
    <w:rsid w:val="00E004F4"/>
    <w:rsid w:val="00E14B9A"/>
    <w:rsid w:val="00E2745E"/>
    <w:rsid w:val="00E66E51"/>
    <w:rsid w:val="00E75832"/>
    <w:rsid w:val="00E835C3"/>
    <w:rsid w:val="00EA3BB0"/>
    <w:rsid w:val="00EF1193"/>
    <w:rsid w:val="00EF1985"/>
    <w:rsid w:val="00F13BEE"/>
    <w:rsid w:val="00F27EB7"/>
    <w:rsid w:val="00F516EB"/>
    <w:rsid w:val="00F7469F"/>
    <w:rsid w:val="00F76314"/>
    <w:rsid w:val="00F7689F"/>
    <w:rsid w:val="00F97EE2"/>
    <w:rsid w:val="00FA1DEE"/>
    <w:rsid w:val="00FA65EC"/>
    <w:rsid w:val="00FC6497"/>
    <w:rsid w:val="00FD7665"/>
    <w:rsid w:val="00FF4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BEE6A3"/>
  <w15:docId w15:val="{C55B7B7E-050B-4F82-87E1-2E8152F2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5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5BF"/>
    <w:rPr>
      <w:rFonts w:ascii="Tahoma" w:hAnsi="Tahoma" w:cs="Tahoma"/>
      <w:sz w:val="16"/>
      <w:szCs w:val="16"/>
    </w:rPr>
  </w:style>
  <w:style w:type="character" w:customStyle="1" w:styleId="BalloonTextChar">
    <w:name w:val="Balloon Text Char"/>
    <w:basedOn w:val="DefaultParagraphFont"/>
    <w:link w:val="BalloonText"/>
    <w:uiPriority w:val="99"/>
    <w:semiHidden/>
    <w:rsid w:val="000755BF"/>
    <w:rPr>
      <w:rFonts w:ascii="Tahoma" w:hAnsi="Tahoma" w:cs="Tahoma"/>
      <w:sz w:val="16"/>
      <w:szCs w:val="16"/>
    </w:rPr>
  </w:style>
  <w:style w:type="paragraph" w:styleId="ListParagraph">
    <w:name w:val="List Paragraph"/>
    <w:basedOn w:val="Normal"/>
    <w:uiPriority w:val="34"/>
    <w:qFormat/>
    <w:rsid w:val="000755BF"/>
    <w:pPr>
      <w:ind w:left="720"/>
      <w:contextualSpacing/>
    </w:pPr>
  </w:style>
  <w:style w:type="character" w:styleId="Hyperlink">
    <w:name w:val="Hyperlink"/>
    <w:basedOn w:val="DefaultParagraphFont"/>
    <w:uiPriority w:val="99"/>
    <w:unhideWhenUsed/>
    <w:rsid w:val="007D4214"/>
    <w:rPr>
      <w:color w:val="0000FF" w:themeColor="hyperlink"/>
      <w:u w:val="single"/>
    </w:rPr>
  </w:style>
  <w:style w:type="paragraph" w:styleId="Header">
    <w:name w:val="header"/>
    <w:basedOn w:val="Normal"/>
    <w:link w:val="HeaderChar"/>
    <w:uiPriority w:val="99"/>
    <w:unhideWhenUsed/>
    <w:rsid w:val="0008082D"/>
    <w:pPr>
      <w:tabs>
        <w:tab w:val="center" w:pos="4680"/>
        <w:tab w:val="right" w:pos="9360"/>
      </w:tabs>
    </w:pPr>
  </w:style>
  <w:style w:type="character" w:customStyle="1" w:styleId="HeaderChar">
    <w:name w:val="Header Char"/>
    <w:basedOn w:val="DefaultParagraphFont"/>
    <w:link w:val="Header"/>
    <w:uiPriority w:val="99"/>
    <w:rsid w:val="0008082D"/>
  </w:style>
  <w:style w:type="paragraph" w:styleId="Footer">
    <w:name w:val="footer"/>
    <w:basedOn w:val="Normal"/>
    <w:link w:val="FooterChar"/>
    <w:uiPriority w:val="99"/>
    <w:unhideWhenUsed/>
    <w:rsid w:val="0008082D"/>
    <w:pPr>
      <w:tabs>
        <w:tab w:val="center" w:pos="4680"/>
        <w:tab w:val="right" w:pos="9360"/>
      </w:tabs>
    </w:pPr>
  </w:style>
  <w:style w:type="character" w:customStyle="1" w:styleId="FooterChar">
    <w:name w:val="Footer Char"/>
    <w:basedOn w:val="DefaultParagraphFont"/>
    <w:link w:val="Footer"/>
    <w:uiPriority w:val="99"/>
    <w:rsid w:val="0008082D"/>
  </w:style>
  <w:style w:type="character" w:styleId="CommentReference">
    <w:name w:val="annotation reference"/>
    <w:basedOn w:val="DefaultParagraphFont"/>
    <w:uiPriority w:val="99"/>
    <w:semiHidden/>
    <w:unhideWhenUsed/>
    <w:rsid w:val="00CC7299"/>
    <w:rPr>
      <w:sz w:val="16"/>
      <w:szCs w:val="16"/>
    </w:rPr>
  </w:style>
  <w:style w:type="paragraph" w:styleId="CommentText">
    <w:name w:val="annotation text"/>
    <w:basedOn w:val="Normal"/>
    <w:link w:val="CommentTextChar"/>
    <w:uiPriority w:val="99"/>
    <w:semiHidden/>
    <w:unhideWhenUsed/>
    <w:rsid w:val="00CC7299"/>
    <w:rPr>
      <w:sz w:val="20"/>
      <w:szCs w:val="20"/>
    </w:rPr>
  </w:style>
  <w:style w:type="character" w:customStyle="1" w:styleId="CommentTextChar">
    <w:name w:val="Comment Text Char"/>
    <w:basedOn w:val="DefaultParagraphFont"/>
    <w:link w:val="CommentText"/>
    <w:uiPriority w:val="99"/>
    <w:semiHidden/>
    <w:rsid w:val="00CC7299"/>
    <w:rPr>
      <w:sz w:val="20"/>
      <w:szCs w:val="20"/>
    </w:rPr>
  </w:style>
  <w:style w:type="paragraph" w:styleId="CommentSubject">
    <w:name w:val="annotation subject"/>
    <w:basedOn w:val="CommentText"/>
    <w:next w:val="CommentText"/>
    <w:link w:val="CommentSubjectChar"/>
    <w:uiPriority w:val="99"/>
    <w:semiHidden/>
    <w:unhideWhenUsed/>
    <w:rsid w:val="00CC7299"/>
    <w:rPr>
      <w:b/>
      <w:bCs/>
    </w:rPr>
  </w:style>
  <w:style w:type="character" w:customStyle="1" w:styleId="CommentSubjectChar">
    <w:name w:val="Comment Subject Char"/>
    <w:basedOn w:val="CommentTextChar"/>
    <w:link w:val="CommentSubject"/>
    <w:uiPriority w:val="99"/>
    <w:semiHidden/>
    <w:rsid w:val="00CC7299"/>
    <w:rPr>
      <w:b/>
      <w:bCs/>
      <w:sz w:val="20"/>
      <w:szCs w:val="20"/>
    </w:rPr>
  </w:style>
  <w:style w:type="paragraph" w:styleId="NormalWeb">
    <w:name w:val="Normal (Web)"/>
    <w:basedOn w:val="Normal"/>
    <w:uiPriority w:val="99"/>
    <w:unhideWhenUsed/>
    <w:rsid w:val="00666BFC"/>
    <w:pPr>
      <w:spacing w:before="100" w:beforeAutospacing="1" w:after="100" w:afterAutospacing="1"/>
    </w:pPr>
    <w:rPr>
      <w:rFonts w:eastAsia="Times New Roman"/>
      <w:sz w:val="24"/>
      <w:szCs w:val="24"/>
    </w:rPr>
  </w:style>
  <w:style w:type="paragraph" w:customStyle="1" w:styleId="in3">
    <w:name w:val="in3"/>
    <w:basedOn w:val="Normal"/>
    <w:rsid w:val="008862F6"/>
    <w:pPr>
      <w:spacing w:before="100" w:beforeAutospacing="1" w:after="100" w:afterAutospacing="1"/>
    </w:pPr>
    <w:rPr>
      <w:rFonts w:eastAsia="Times New Roman"/>
      <w:sz w:val="24"/>
      <w:szCs w:val="24"/>
    </w:rPr>
  </w:style>
  <w:style w:type="paragraph" w:customStyle="1" w:styleId="in4">
    <w:name w:val="in4"/>
    <w:basedOn w:val="Normal"/>
    <w:rsid w:val="008862F6"/>
    <w:pPr>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725">
      <w:bodyDiv w:val="1"/>
      <w:marLeft w:val="0"/>
      <w:marRight w:val="0"/>
      <w:marTop w:val="0"/>
      <w:marBottom w:val="0"/>
      <w:divBdr>
        <w:top w:val="none" w:sz="0" w:space="0" w:color="auto"/>
        <w:left w:val="none" w:sz="0" w:space="0" w:color="auto"/>
        <w:bottom w:val="none" w:sz="0" w:space="0" w:color="auto"/>
        <w:right w:val="none" w:sz="0" w:space="0" w:color="auto"/>
      </w:divBdr>
    </w:div>
    <w:div w:id="513687870">
      <w:bodyDiv w:val="1"/>
      <w:marLeft w:val="0"/>
      <w:marRight w:val="0"/>
      <w:marTop w:val="0"/>
      <w:marBottom w:val="0"/>
      <w:divBdr>
        <w:top w:val="none" w:sz="0" w:space="0" w:color="auto"/>
        <w:left w:val="none" w:sz="0" w:space="0" w:color="auto"/>
        <w:bottom w:val="none" w:sz="0" w:space="0" w:color="auto"/>
        <w:right w:val="none" w:sz="0" w:space="0" w:color="auto"/>
      </w:divBdr>
    </w:div>
    <w:div w:id="514271987">
      <w:bodyDiv w:val="1"/>
      <w:marLeft w:val="0"/>
      <w:marRight w:val="0"/>
      <w:marTop w:val="0"/>
      <w:marBottom w:val="0"/>
      <w:divBdr>
        <w:top w:val="none" w:sz="0" w:space="0" w:color="auto"/>
        <w:left w:val="none" w:sz="0" w:space="0" w:color="auto"/>
        <w:bottom w:val="none" w:sz="0" w:space="0" w:color="auto"/>
        <w:right w:val="none" w:sz="0" w:space="0" w:color="auto"/>
      </w:divBdr>
    </w:div>
    <w:div w:id="663317007">
      <w:bodyDiv w:val="1"/>
      <w:marLeft w:val="0"/>
      <w:marRight w:val="0"/>
      <w:marTop w:val="0"/>
      <w:marBottom w:val="0"/>
      <w:divBdr>
        <w:top w:val="none" w:sz="0" w:space="0" w:color="auto"/>
        <w:left w:val="none" w:sz="0" w:space="0" w:color="auto"/>
        <w:bottom w:val="none" w:sz="0" w:space="0" w:color="auto"/>
        <w:right w:val="none" w:sz="0" w:space="0" w:color="auto"/>
      </w:divBdr>
    </w:div>
    <w:div w:id="1354646620">
      <w:bodyDiv w:val="1"/>
      <w:marLeft w:val="0"/>
      <w:marRight w:val="0"/>
      <w:marTop w:val="0"/>
      <w:marBottom w:val="0"/>
      <w:divBdr>
        <w:top w:val="none" w:sz="0" w:space="0" w:color="auto"/>
        <w:left w:val="none" w:sz="0" w:space="0" w:color="auto"/>
        <w:bottom w:val="none" w:sz="0" w:space="0" w:color="auto"/>
        <w:right w:val="none" w:sz="0" w:space="0" w:color="auto"/>
      </w:divBdr>
    </w:div>
    <w:div w:id="1587038772">
      <w:bodyDiv w:val="1"/>
      <w:marLeft w:val="0"/>
      <w:marRight w:val="0"/>
      <w:marTop w:val="0"/>
      <w:marBottom w:val="0"/>
      <w:divBdr>
        <w:top w:val="none" w:sz="0" w:space="0" w:color="auto"/>
        <w:left w:val="none" w:sz="0" w:space="0" w:color="auto"/>
        <w:bottom w:val="none" w:sz="0" w:space="0" w:color="auto"/>
        <w:right w:val="none" w:sz="0" w:space="0" w:color="auto"/>
      </w:divBdr>
    </w:div>
    <w:div w:id="1759594846">
      <w:bodyDiv w:val="1"/>
      <w:marLeft w:val="0"/>
      <w:marRight w:val="0"/>
      <w:marTop w:val="0"/>
      <w:marBottom w:val="0"/>
      <w:divBdr>
        <w:top w:val="none" w:sz="0" w:space="0" w:color="auto"/>
        <w:left w:val="none" w:sz="0" w:space="0" w:color="auto"/>
        <w:bottom w:val="none" w:sz="0" w:space="0" w:color="auto"/>
        <w:right w:val="none" w:sz="0" w:space="0" w:color="auto"/>
      </w:divBdr>
    </w:div>
    <w:div w:id="1781798638">
      <w:bodyDiv w:val="1"/>
      <w:marLeft w:val="0"/>
      <w:marRight w:val="0"/>
      <w:marTop w:val="0"/>
      <w:marBottom w:val="0"/>
      <w:divBdr>
        <w:top w:val="none" w:sz="0" w:space="0" w:color="auto"/>
        <w:left w:val="none" w:sz="0" w:space="0" w:color="auto"/>
        <w:bottom w:val="none" w:sz="0" w:space="0" w:color="auto"/>
        <w:right w:val="none" w:sz="0" w:space="0" w:color="auto"/>
      </w:divBdr>
    </w:div>
    <w:div w:id="1841263881">
      <w:bodyDiv w:val="1"/>
      <w:marLeft w:val="0"/>
      <w:marRight w:val="0"/>
      <w:marTop w:val="0"/>
      <w:marBottom w:val="0"/>
      <w:divBdr>
        <w:top w:val="none" w:sz="0" w:space="0" w:color="auto"/>
        <w:left w:val="none" w:sz="0" w:space="0" w:color="auto"/>
        <w:bottom w:val="none" w:sz="0" w:space="0" w:color="auto"/>
        <w:right w:val="none" w:sz="0" w:space="0" w:color="auto"/>
      </w:divBdr>
    </w:div>
    <w:div w:id="1841698166">
      <w:bodyDiv w:val="1"/>
      <w:marLeft w:val="0"/>
      <w:marRight w:val="0"/>
      <w:marTop w:val="0"/>
      <w:marBottom w:val="0"/>
      <w:divBdr>
        <w:top w:val="none" w:sz="0" w:space="0" w:color="auto"/>
        <w:left w:val="none" w:sz="0" w:space="0" w:color="auto"/>
        <w:bottom w:val="none" w:sz="0" w:space="0" w:color="auto"/>
        <w:right w:val="none" w:sz="0" w:space="0" w:color="auto"/>
      </w:divBdr>
    </w:div>
    <w:div w:id="1985354852">
      <w:bodyDiv w:val="1"/>
      <w:marLeft w:val="0"/>
      <w:marRight w:val="0"/>
      <w:marTop w:val="0"/>
      <w:marBottom w:val="0"/>
      <w:divBdr>
        <w:top w:val="none" w:sz="0" w:space="0" w:color="auto"/>
        <w:left w:val="none" w:sz="0" w:space="0" w:color="auto"/>
        <w:bottom w:val="none" w:sz="0" w:space="0" w:color="auto"/>
        <w:right w:val="none" w:sz="0" w:space="0" w:color="auto"/>
      </w:divBdr>
    </w:div>
    <w:div w:id="2018850772">
      <w:bodyDiv w:val="1"/>
      <w:marLeft w:val="0"/>
      <w:marRight w:val="0"/>
      <w:marTop w:val="0"/>
      <w:marBottom w:val="0"/>
      <w:divBdr>
        <w:top w:val="none" w:sz="0" w:space="0" w:color="auto"/>
        <w:left w:val="none" w:sz="0" w:space="0" w:color="auto"/>
        <w:bottom w:val="none" w:sz="0" w:space="0" w:color="auto"/>
        <w:right w:val="none" w:sz="0" w:space="0" w:color="auto"/>
      </w:divBdr>
    </w:div>
    <w:div w:id="208760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C11178-0150-434B-807C-215D81CAD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1577</Words>
  <Characters>8994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HOT TOPICS – DEPOSITS &amp; BENEFICIAL OWNERSHIP/CUSTOMER DUE DILIGENCE</vt:lpstr>
    </vt:vector>
  </TitlesOfParts>
  <Company>Iowa Bankers</Company>
  <LinksUpToDate>false</LinksUpToDate>
  <CharactersWithSpaces>10550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 TOPICS – DEPOSITS &amp; BENEFICIAL OWNERSHIP/CUSTOMER DUE DILIGENCE</dc:title>
  <dc:creator>Hardisty, Shelley</dc:creator>
  <cp:lastModifiedBy>Gliha, Julie</cp:lastModifiedBy>
  <cp:revision>3</cp:revision>
  <dcterms:created xsi:type="dcterms:W3CDTF">2022-02-22T21:22:00Z</dcterms:created>
  <dcterms:modified xsi:type="dcterms:W3CDTF">2022-02-22T21:29:00Z</dcterms:modified>
</cp:coreProperties>
</file>